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5A" w:rsidRPr="00892D0B" w:rsidRDefault="00C6035A" w:rsidP="00892D0B"/>
    <w:p w:rsidR="00C6035A" w:rsidRPr="00892D0B" w:rsidRDefault="00C6035A" w:rsidP="00892D0B">
      <w:pPr>
        <w:jc w:val="center"/>
        <w:rPr>
          <w:b/>
        </w:rPr>
      </w:pPr>
      <w:r w:rsidRPr="00892D0B">
        <w:rPr>
          <w:b/>
        </w:rPr>
        <w:t>РОССИЙСКАЯ ФЕДЕРАЦИЯ</w:t>
      </w:r>
    </w:p>
    <w:p w:rsidR="00C6035A" w:rsidRDefault="00C6035A" w:rsidP="00892D0B">
      <w:pPr>
        <w:jc w:val="center"/>
        <w:rPr>
          <w:b/>
        </w:rPr>
      </w:pPr>
      <w:r w:rsidRPr="00892D0B">
        <w:rPr>
          <w:b/>
        </w:rPr>
        <w:t>КЕМЕРОВСКАЯ ОБЛАСТЬ</w:t>
      </w:r>
    </w:p>
    <w:p w:rsidR="00164CA3" w:rsidRPr="00892D0B" w:rsidRDefault="00164CA3" w:rsidP="00892D0B">
      <w:pPr>
        <w:jc w:val="center"/>
        <w:rPr>
          <w:b/>
        </w:rPr>
      </w:pPr>
      <w:r>
        <w:rPr>
          <w:b/>
        </w:rPr>
        <w:t>КАЗСКОЕ ГОРОДСКОЕ ПОСЕЛЕНИЕ</w:t>
      </w:r>
    </w:p>
    <w:p w:rsidR="00C6035A" w:rsidRPr="00892D0B" w:rsidRDefault="00C6035A" w:rsidP="00892D0B">
      <w:pPr>
        <w:jc w:val="center"/>
        <w:rPr>
          <w:b/>
        </w:rPr>
      </w:pPr>
      <w:r w:rsidRPr="00892D0B">
        <w:rPr>
          <w:b/>
        </w:rPr>
        <w:t>ТАШТАГОЛЬСКИЙ МУНИЦИПАЛЬНЫЙ РАЙОН</w:t>
      </w:r>
    </w:p>
    <w:p w:rsidR="00C6035A" w:rsidRPr="00892D0B" w:rsidRDefault="00C6035A" w:rsidP="00892D0B">
      <w:pPr>
        <w:jc w:val="center"/>
        <w:rPr>
          <w:b/>
        </w:rPr>
      </w:pPr>
      <w:r w:rsidRPr="00892D0B">
        <w:rPr>
          <w:b/>
        </w:rPr>
        <w:t>СОВЕТ НАРОДНЫХ ДЕПУТАТОВ КАЗСКОГО ГОРОДСКОГО ПОСЕЛЕНИЯ</w:t>
      </w:r>
    </w:p>
    <w:p w:rsidR="00C6035A" w:rsidRPr="00892D0B" w:rsidRDefault="00C6035A" w:rsidP="00892D0B">
      <w:pPr>
        <w:jc w:val="center"/>
        <w:rPr>
          <w:b/>
        </w:rPr>
      </w:pPr>
    </w:p>
    <w:p w:rsidR="00C6035A" w:rsidRPr="00892D0B" w:rsidRDefault="00C6035A" w:rsidP="00892D0B">
      <w:pPr>
        <w:jc w:val="center"/>
        <w:rPr>
          <w:b/>
        </w:rPr>
      </w:pPr>
      <w:r w:rsidRPr="00892D0B">
        <w:rPr>
          <w:b/>
        </w:rPr>
        <w:t>РЕШЕНИЕ</w:t>
      </w:r>
    </w:p>
    <w:p w:rsidR="00C6035A" w:rsidRPr="00892D0B" w:rsidRDefault="00C6035A" w:rsidP="00892D0B">
      <w:pPr>
        <w:jc w:val="center"/>
        <w:rPr>
          <w:b/>
        </w:rPr>
      </w:pPr>
    </w:p>
    <w:p w:rsidR="00C6035A" w:rsidRPr="00892D0B" w:rsidRDefault="00C6035A" w:rsidP="00892D0B">
      <w:pPr>
        <w:rPr>
          <w:b/>
        </w:rPr>
      </w:pPr>
      <w:r w:rsidRPr="00892D0B">
        <w:rPr>
          <w:b/>
        </w:rPr>
        <w:t xml:space="preserve">От </w:t>
      </w:r>
      <w:r w:rsidR="008D7765" w:rsidRPr="00892D0B">
        <w:rPr>
          <w:b/>
        </w:rPr>
        <w:t>21</w:t>
      </w:r>
      <w:r w:rsidR="007A2A9D" w:rsidRPr="00892D0B">
        <w:rPr>
          <w:b/>
        </w:rPr>
        <w:t xml:space="preserve"> </w:t>
      </w:r>
      <w:r w:rsidR="008D7765" w:rsidRPr="00892D0B">
        <w:rPr>
          <w:b/>
        </w:rPr>
        <w:t>апреля 2016 года № 40</w:t>
      </w:r>
      <w:r w:rsidR="00D447EE">
        <w:rPr>
          <w:b/>
        </w:rPr>
        <w:t>/1</w:t>
      </w:r>
    </w:p>
    <w:p w:rsidR="00C6035A" w:rsidRPr="00892D0B" w:rsidRDefault="00C6035A" w:rsidP="00892D0B">
      <w:pPr>
        <w:rPr>
          <w:b/>
        </w:rPr>
      </w:pPr>
      <w:r w:rsidRPr="00892D0B">
        <w:rPr>
          <w:b/>
        </w:rPr>
        <w:t>принято Советом народных депутатов</w:t>
      </w:r>
    </w:p>
    <w:p w:rsidR="00C6035A" w:rsidRPr="00892D0B" w:rsidRDefault="00C6035A" w:rsidP="00892D0B">
      <w:pPr>
        <w:rPr>
          <w:b/>
        </w:rPr>
      </w:pPr>
      <w:r w:rsidRPr="00892D0B">
        <w:rPr>
          <w:b/>
        </w:rPr>
        <w:t>Казского городского поселения</w:t>
      </w:r>
    </w:p>
    <w:p w:rsidR="00C6035A" w:rsidRPr="00892D0B" w:rsidRDefault="00C6035A" w:rsidP="00892D0B">
      <w:pPr>
        <w:rPr>
          <w:b/>
        </w:rPr>
      </w:pPr>
    </w:p>
    <w:p w:rsidR="008D7765" w:rsidRPr="00892D0B" w:rsidRDefault="008D7765" w:rsidP="004E4FFB">
      <w:pPr>
        <w:jc w:val="center"/>
        <w:textAlignment w:val="top"/>
        <w:rPr>
          <w:b/>
          <w:color w:val="000000"/>
        </w:rPr>
      </w:pPr>
      <w:r w:rsidRPr="00892D0B">
        <w:rPr>
          <w:b/>
          <w:color w:val="000000"/>
        </w:rPr>
        <w:t>«О</w:t>
      </w:r>
      <w:r w:rsidR="00916DC7">
        <w:rPr>
          <w:b/>
          <w:color w:val="000000"/>
        </w:rPr>
        <w:t>б</w:t>
      </w:r>
      <w:r w:rsidRPr="00892D0B">
        <w:rPr>
          <w:b/>
          <w:color w:val="000000"/>
        </w:rPr>
        <w:t xml:space="preserve"> </w:t>
      </w:r>
      <w:r w:rsidR="00916DC7">
        <w:rPr>
          <w:b/>
          <w:color w:val="000000"/>
        </w:rPr>
        <w:t>утверждении Положения о предоставлении</w:t>
      </w:r>
      <w:r w:rsidRPr="00892D0B">
        <w:rPr>
          <w:b/>
          <w:color w:val="000000"/>
        </w:rPr>
        <w:t xml:space="preserve"> </w:t>
      </w:r>
      <w:r w:rsidR="00D447EE">
        <w:rPr>
          <w:b/>
          <w:color w:val="000000"/>
        </w:rPr>
        <w:t>Главой муниципального образования</w:t>
      </w:r>
      <w:r w:rsidRPr="00892D0B">
        <w:rPr>
          <w:b/>
          <w:color w:val="000000"/>
        </w:rPr>
        <w:t xml:space="preserve"> </w:t>
      </w:r>
      <w:r w:rsidR="00D447EE">
        <w:rPr>
          <w:b/>
          <w:color w:val="000000"/>
        </w:rPr>
        <w:t>«</w:t>
      </w:r>
      <w:r w:rsidRPr="00892D0B">
        <w:rPr>
          <w:b/>
          <w:color w:val="000000"/>
        </w:rPr>
        <w:t>Казско</w:t>
      </w:r>
      <w:r w:rsidR="00D447EE">
        <w:rPr>
          <w:b/>
          <w:color w:val="000000"/>
        </w:rPr>
        <w:t>е</w:t>
      </w:r>
      <w:r w:rsidRPr="00892D0B">
        <w:rPr>
          <w:b/>
          <w:color w:val="000000"/>
        </w:rPr>
        <w:t xml:space="preserve"> городско</w:t>
      </w:r>
      <w:r w:rsidR="00D447EE">
        <w:rPr>
          <w:b/>
          <w:color w:val="000000"/>
        </w:rPr>
        <w:t>е</w:t>
      </w:r>
      <w:r w:rsidRPr="00892D0B">
        <w:rPr>
          <w:b/>
          <w:color w:val="000000"/>
        </w:rPr>
        <w:t xml:space="preserve"> поселени</w:t>
      </w:r>
      <w:r w:rsidR="00D447EE">
        <w:rPr>
          <w:b/>
          <w:color w:val="000000"/>
        </w:rPr>
        <w:t>е»</w:t>
      </w:r>
      <w:r w:rsidRPr="00892D0B">
        <w:rPr>
          <w:b/>
          <w:color w:val="000000"/>
        </w:rPr>
        <w:t>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8D7765" w:rsidRPr="00892D0B" w:rsidRDefault="008D7765" w:rsidP="00892D0B">
      <w:pPr>
        <w:textAlignment w:val="top"/>
        <w:rPr>
          <w:color w:val="000000"/>
        </w:rPr>
      </w:pPr>
    </w:p>
    <w:p w:rsidR="008D7765" w:rsidRPr="00892D0B" w:rsidRDefault="008D7765" w:rsidP="00892D0B">
      <w:pPr>
        <w:jc w:val="both"/>
        <w:textAlignment w:val="top"/>
        <w:rPr>
          <w:color w:val="000000"/>
        </w:rPr>
      </w:pPr>
      <w:r w:rsidRPr="00892D0B">
        <w:rPr>
          <w:color w:val="000000"/>
        </w:rPr>
        <w:t xml:space="preserve">       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19.12.2008 № 273-ФЗ «О противодействии коррупции», Федеральным законом от 03.11.2015 № 303-ФЗ «О внесении изменений в отдельные законодательные акты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23.06.2014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Совет народных депутатов Казского городского поселения </w:t>
      </w:r>
    </w:p>
    <w:p w:rsidR="008D7765" w:rsidRPr="00892D0B" w:rsidRDefault="008D7765" w:rsidP="00892D0B">
      <w:pPr>
        <w:jc w:val="center"/>
        <w:textAlignment w:val="top"/>
        <w:rPr>
          <w:color w:val="000000"/>
        </w:rPr>
      </w:pPr>
    </w:p>
    <w:p w:rsidR="008D7765" w:rsidRPr="00892D0B" w:rsidRDefault="008D7765" w:rsidP="00892D0B">
      <w:pPr>
        <w:jc w:val="center"/>
        <w:textAlignment w:val="top"/>
        <w:rPr>
          <w:b/>
          <w:color w:val="000000"/>
        </w:rPr>
      </w:pPr>
      <w:r w:rsidRPr="00892D0B">
        <w:rPr>
          <w:b/>
          <w:color w:val="000000"/>
        </w:rPr>
        <w:t>РЕШИЛ:</w:t>
      </w:r>
    </w:p>
    <w:p w:rsidR="008D7765" w:rsidRPr="00892D0B" w:rsidRDefault="008D7765" w:rsidP="00892D0B">
      <w:pPr>
        <w:numPr>
          <w:ilvl w:val="0"/>
          <w:numId w:val="2"/>
        </w:numPr>
        <w:spacing w:before="100" w:beforeAutospacing="1" w:after="100" w:afterAutospacing="1"/>
        <w:jc w:val="both"/>
        <w:textAlignment w:val="top"/>
        <w:rPr>
          <w:color w:val="000000"/>
        </w:rPr>
      </w:pPr>
      <w:r w:rsidRPr="00892D0B">
        <w:rPr>
          <w:color w:val="000000"/>
        </w:rPr>
        <w:t xml:space="preserve">Утвердить Положение о предоставлении </w:t>
      </w:r>
      <w:r w:rsidR="00D447EE">
        <w:rPr>
          <w:color w:val="000000"/>
        </w:rPr>
        <w:t>Главой муниципального образования</w:t>
      </w:r>
      <w:r w:rsidRPr="00892D0B">
        <w:rPr>
          <w:color w:val="000000"/>
        </w:rPr>
        <w:t xml:space="preserve"> </w:t>
      </w:r>
      <w:r w:rsidR="00D447EE">
        <w:rPr>
          <w:color w:val="000000"/>
        </w:rPr>
        <w:t>«</w:t>
      </w:r>
      <w:r w:rsidRPr="00892D0B">
        <w:rPr>
          <w:color w:val="000000"/>
        </w:rPr>
        <w:t>Казско</w:t>
      </w:r>
      <w:r w:rsidR="00D447EE">
        <w:rPr>
          <w:color w:val="000000"/>
        </w:rPr>
        <w:t>е</w:t>
      </w:r>
      <w:r w:rsidRPr="00892D0B">
        <w:rPr>
          <w:color w:val="000000"/>
        </w:rPr>
        <w:t xml:space="preserve"> городско</w:t>
      </w:r>
      <w:r w:rsidR="00D447EE">
        <w:rPr>
          <w:color w:val="000000"/>
        </w:rPr>
        <w:t>е</w:t>
      </w:r>
      <w:r w:rsidRPr="00892D0B">
        <w:rPr>
          <w:color w:val="000000"/>
        </w:rPr>
        <w:t xml:space="preserve"> поселени</w:t>
      </w:r>
      <w:r w:rsidR="00D447EE">
        <w:rPr>
          <w:color w:val="000000"/>
        </w:rPr>
        <w:t>е»</w:t>
      </w:r>
      <w:r w:rsidRPr="00892D0B">
        <w:rPr>
          <w:color w:val="000000"/>
        </w:rPr>
        <w:t>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  <w:r w:rsidR="00D447EE">
        <w:rPr>
          <w:color w:val="000000"/>
        </w:rPr>
        <w:t xml:space="preserve"> </w:t>
      </w:r>
      <w:r w:rsidR="00892D0B">
        <w:rPr>
          <w:color w:val="000000"/>
        </w:rPr>
        <w:t>( Приложение № 1)</w:t>
      </w:r>
      <w:r w:rsidR="00164CA3">
        <w:rPr>
          <w:color w:val="000000"/>
        </w:rPr>
        <w:t>.</w:t>
      </w:r>
    </w:p>
    <w:p w:rsidR="008D7765" w:rsidRPr="00892D0B" w:rsidRDefault="008D7765" w:rsidP="00892D0B">
      <w:pPr>
        <w:numPr>
          <w:ilvl w:val="0"/>
          <w:numId w:val="2"/>
        </w:numPr>
        <w:spacing w:before="100" w:beforeAutospacing="1" w:after="100" w:afterAutospacing="1"/>
        <w:jc w:val="both"/>
        <w:textAlignment w:val="top"/>
        <w:rPr>
          <w:color w:val="000000"/>
        </w:rPr>
      </w:pPr>
      <w:r w:rsidRPr="00892D0B">
        <w:rPr>
          <w:color w:val="000000"/>
        </w:rPr>
        <w:t xml:space="preserve">Настоящее решение подлежит официальному опубликованию (обнародованию) на информационном стенде администрации Казского городского поселения, а также размещению в телекоммуникационной сети «Интернет» на официальном сайте администрации  </w:t>
      </w:r>
      <w:r w:rsidRPr="00892D0B">
        <w:rPr>
          <w:color w:val="000000"/>
          <w:lang w:val="en-US"/>
        </w:rPr>
        <w:t>admkaz</w:t>
      </w:r>
      <w:r w:rsidRPr="00892D0B">
        <w:rPr>
          <w:color w:val="000000"/>
        </w:rPr>
        <w:t>.</w:t>
      </w:r>
      <w:r w:rsidRPr="00892D0B">
        <w:rPr>
          <w:color w:val="000000"/>
          <w:lang w:val="en-US"/>
        </w:rPr>
        <w:t>my</w:t>
      </w:r>
      <w:r w:rsidRPr="00892D0B">
        <w:rPr>
          <w:color w:val="000000"/>
        </w:rPr>
        <w:t>1.</w:t>
      </w:r>
      <w:r w:rsidRPr="00892D0B">
        <w:rPr>
          <w:color w:val="000000"/>
          <w:lang w:val="en-US"/>
        </w:rPr>
        <w:t>ru</w:t>
      </w:r>
      <w:r w:rsidRPr="00892D0B">
        <w:rPr>
          <w:color w:val="000000"/>
        </w:rPr>
        <w:t>.</w:t>
      </w:r>
    </w:p>
    <w:p w:rsidR="008D7765" w:rsidRPr="00892D0B" w:rsidRDefault="008D7765" w:rsidP="00892D0B">
      <w:pPr>
        <w:numPr>
          <w:ilvl w:val="0"/>
          <w:numId w:val="2"/>
        </w:numPr>
        <w:spacing w:before="100" w:beforeAutospacing="1" w:after="100" w:afterAutospacing="1"/>
        <w:jc w:val="both"/>
        <w:textAlignment w:val="top"/>
      </w:pPr>
      <w:r w:rsidRPr="00892D0B">
        <w:rPr>
          <w:color w:val="000000"/>
        </w:rPr>
        <w:t xml:space="preserve">Настоящее решение вступает в силу со дня его </w:t>
      </w:r>
      <w:hyperlink r:id="rId7" w:history="1">
        <w:r w:rsidRPr="00892D0B">
          <w:t>официального опубликования</w:t>
        </w:r>
      </w:hyperlink>
      <w:r w:rsidRPr="00892D0B">
        <w:t xml:space="preserve"> (обнародования)</w:t>
      </w:r>
      <w:r w:rsidR="00164CA3">
        <w:t>.</w:t>
      </w:r>
    </w:p>
    <w:p w:rsidR="00C6035A" w:rsidRPr="00892D0B" w:rsidRDefault="00C6035A" w:rsidP="00892D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35A" w:rsidRPr="00892D0B" w:rsidRDefault="00C6035A" w:rsidP="00892D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2D0B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6035A" w:rsidRPr="00892D0B" w:rsidRDefault="00C6035A" w:rsidP="00892D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2D0B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892D0B">
        <w:rPr>
          <w:rFonts w:ascii="Times New Roman" w:hAnsi="Times New Roman" w:cs="Times New Roman"/>
          <w:sz w:val="24"/>
          <w:szCs w:val="24"/>
        </w:rPr>
        <w:tab/>
      </w:r>
      <w:r w:rsidRPr="00892D0B">
        <w:rPr>
          <w:rFonts w:ascii="Times New Roman" w:hAnsi="Times New Roman" w:cs="Times New Roman"/>
          <w:sz w:val="24"/>
          <w:szCs w:val="24"/>
        </w:rPr>
        <w:tab/>
      </w:r>
      <w:r w:rsidRPr="00892D0B">
        <w:rPr>
          <w:rFonts w:ascii="Times New Roman" w:hAnsi="Times New Roman" w:cs="Times New Roman"/>
          <w:sz w:val="24"/>
          <w:szCs w:val="24"/>
        </w:rPr>
        <w:tab/>
      </w:r>
      <w:r w:rsidRPr="00892D0B">
        <w:rPr>
          <w:rFonts w:ascii="Times New Roman" w:hAnsi="Times New Roman" w:cs="Times New Roman"/>
          <w:sz w:val="24"/>
          <w:szCs w:val="24"/>
        </w:rPr>
        <w:tab/>
      </w:r>
      <w:r w:rsidR="008D7765" w:rsidRPr="00892D0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92D0B">
        <w:rPr>
          <w:rFonts w:ascii="Times New Roman" w:hAnsi="Times New Roman" w:cs="Times New Roman"/>
          <w:sz w:val="24"/>
          <w:szCs w:val="24"/>
        </w:rPr>
        <w:t>Н.И. Пожникова</w:t>
      </w:r>
    </w:p>
    <w:p w:rsidR="00C6035A" w:rsidRPr="00892D0B" w:rsidRDefault="00C6035A" w:rsidP="00892D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35A" w:rsidRPr="00892D0B" w:rsidRDefault="00C6035A" w:rsidP="00892D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35A" w:rsidRPr="00892D0B" w:rsidRDefault="00C6035A" w:rsidP="00892D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2D0B">
        <w:rPr>
          <w:rFonts w:ascii="Times New Roman" w:hAnsi="Times New Roman" w:cs="Times New Roman"/>
          <w:sz w:val="24"/>
          <w:szCs w:val="24"/>
        </w:rPr>
        <w:t>Глава Казского городского поселения</w:t>
      </w:r>
      <w:r w:rsidRPr="00892D0B">
        <w:rPr>
          <w:rFonts w:ascii="Times New Roman" w:hAnsi="Times New Roman" w:cs="Times New Roman"/>
          <w:sz w:val="24"/>
          <w:szCs w:val="24"/>
        </w:rPr>
        <w:tab/>
      </w:r>
      <w:r w:rsidRPr="00892D0B">
        <w:rPr>
          <w:rFonts w:ascii="Times New Roman" w:hAnsi="Times New Roman" w:cs="Times New Roman"/>
          <w:sz w:val="24"/>
          <w:szCs w:val="24"/>
        </w:rPr>
        <w:tab/>
      </w:r>
      <w:r w:rsidRPr="00892D0B">
        <w:rPr>
          <w:rFonts w:ascii="Times New Roman" w:hAnsi="Times New Roman" w:cs="Times New Roman"/>
          <w:sz w:val="24"/>
          <w:szCs w:val="24"/>
        </w:rPr>
        <w:tab/>
      </w:r>
      <w:r w:rsidR="008D7765" w:rsidRPr="00892D0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92D0B">
        <w:rPr>
          <w:rFonts w:ascii="Times New Roman" w:hAnsi="Times New Roman" w:cs="Times New Roman"/>
          <w:sz w:val="24"/>
          <w:szCs w:val="24"/>
        </w:rPr>
        <w:t>О.Г. Семенцов</w:t>
      </w:r>
    </w:p>
    <w:p w:rsidR="00196089" w:rsidRDefault="00196089" w:rsidP="00892D0B">
      <w:pPr>
        <w:tabs>
          <w:tab w:val="left" w:pos="2100"/>
        </w:tabs>
        <w:sectPr w:rsidR="00196089" w:rsidSect="008D7765">
          <w:pgSz w:w="11906" w:h="16838"/>
          <w:pgMar w:top="539" w:right="1134" w:bottom="1134" w:left="1134" w:header="425" w:footer="709" w:gutter="0"/>
          <w:cols w:space="708"/>
          <w:docGrid w:linePitch="360"/>
        </w:sectPr>
      </w:pPr>
    </w:p>
    <w:p w:rsidR="00196089" w:rsidRPr="00823F6A" w:rsidRDefault="00196089" w:rsidP="00196089">
      <w:pPr>
        <w:tabs>
          <w:tab w:val="left" w:pos="7230"/>
        </w:tabs>
        <w:ind w:firstLine="567"/>
        <w:contextualSpacing/>
        <w:jc w:val="right"/>
      </w:pPr>
      <w:r w:rsidRPr="00823F6A">
        <w:rPr>
          <w:b/>
        </w:rPr>
        <w:lastRenderedPageBreak/>
        <w:tab/>
      </w:r>
      <w:r w:rsidRPr="00823F6A">
        <w:t xml:space="preserve">Приложение №1 к решению Совета народных депутатов </w:t>
      </w:r>
    </w:p>
    <w:p w:rsidR="00196089" w:rsidRPr="00823F6A" w:rsidRDefault="00196089" w:rsidP="00196089">
      <w:pPr>
        <w:tabs>
          <w:tab w:val="left" w:pos="7230"/>
        </w:tabs>
        <w:ind w:firstLine="567"/>
        <w:contextualSpacing/>
        <w:jc w:val="right"/>
      </w:pPr>
      <w:r w:rsidRPr="00823F6A">
        <w:t xml:space="preserve">Казского городского поселения </w:t>
      </w:r>
    </w:p>
    <w:p w:rsidR="00196089" w:rsidRPr="00823F6A" w:rsidRDefault="00196089" w:rsidP="00196089">
      <w:pPr>
        <w:tabs>
          <w:tab w:val="left" w:pos="7230"/>
        </w:tabs>
        <w:ind w:firstLine="567"/>
        <w:contextualSpacing/>
        <w:jc w:val="right"/>
      </w:pPr>
      <w:r w:rsidRPr="00823F6A">
        <w:t>№40/1 от 21.04.2016 года.</w:t>
      </w:r>
    </w:p>
    <w:p w:rsidR="00196089" w:rsidRPr="00823F6A" w:rsidRDefault="00196089" w:rsidP="00196089">
      <w:pPr>
        <w:ind w:firstLine="567"/>
        <w:contextualSpacing/>
        <w:jc w:val="center"/>
        <w:rPr>
          <w:b/>
        </w:rPr>
      </w:pPr>
    </w:p>
    <w:p w:rsidR="00196089" w:rsidRPr="00823F6A" w:rsidRDefault="00196089" w:rsidP="00196089">
      <w:pPr>
        <w:ind w:firstLine="567"/>
        <w:contextualSpacing/>
        <w:jc w:val="center"/>
        <w:rPr>
          <w:b/>
        </w:rPr>
      </w:pPr>
      <w:r w:rsidRPr="00823F6A">
        <w:rPr>
          <w:b/>
        </w:rPr>
        <w:t>ПОЛОЖЕНИЕ</w:t>
      </w:r>
    </w:p>
    <w:p w:rsidR="00196089" w:rsidRPr="00823F6A" w:rsidRDefault="00196089" w:rsidP="00196089">
      <w:pPr>
        <w:ind w:firstLine="567"/>
        <w:contextualSpacing/>
        <w:jc w:val="center"/>
        <w:rPr>
          <w:b/>
        </w:rPr>
      </w:pPr>
    </w:p>
    <w:p w:rsidR="00196089" w:rsidRPr="00823F6A" w:rsidRDefault="00196089" w:rsidP="00196089">
      <w:pPr>
        <w:ind w:firstLine="567"/>
        <w:contextualSpacing/>
        <w:jc w:val="center"/>
        <w:rPr>
          <w:b/>
        </w:rPr>
      </w:pPr>
      <w:r w:rsidRPr="00823F6A">
        <w:rPr>
          <w:b/>
        </w:rPr>
        <w:t>«О порядке представления сведений</w:t>
      </w:r>
    </w:p>
    <w:p w:rsidR="00196089" w:rsidRPr="00823F6A" w:rsidRDefault="00196089" w:rsidP="00196089">
      <w:pPr>
        <w:ind w:firstLine="567"/>
        <w:contextualSpacing/>
        <w:jc w:val="center"/>
        <w:rPr>
          <w:b/>
        </w:rPr>
      </w:pPr>
      <w:r w:rsidRPr="00823F6A">
        <w:rPr>
          <w:b/>
        </w:rPr>
        <w:t>о доходах, расходах, об имуществе и обязательствах</w:t>
      </w:r>
    </w:p>
    <w:p w:rsidR="00196089" w:rsidRPr="00823F6A" w:rsidRDefault="00196089" w:rsidP="00196089">
      <w:pPr>
        <w:ind w:firstLine="567"/>
        <w:contextualSpacing/>
        <w:jc w:val="center"/>
        <w:rPr>
          <w:b/>
        </w:rPr>
      </w:pPr>
      <w:r w:rsidRPr="00823F6A">
        <w:rPr>
          <w:b/>
        </w:rPr>
        <w:t>имущественного характера Главой муниципального образования «Казского городского поселения»»</w:t>
      </w:r>
    </w:p>
    <w:p w:rsidR="00196089" w:rsidRPr="00823F6A" w:rsidRDefault="00196089" w:rsidP="00196089">
      <w:pPr>
        <w:ind w:firstLine="567"/>
        <w:contextualSpacing/>
        <w:jc w:val="center"/>
        <w:rPr>
          <w:b/>
        </w:rPr>
      </w:pPr>
    </w:p>
    <w:p w:rsidR="00196089" w:rsidRPr="00823F6A" w:rsidRDefault="00196089" w:rsidP="00196089">
      <w:pPr>
        <w:ind w:firstLine="567"/>
        <w:contextualSpacing/>
        <w:jc w:val="center"/>
      </w:pPr>
      <w:r w:rsidRPr="00823F6A">
        <w:t>1. Общие положения</w:t>
      </w:r>
    </w:p>
    <w:p w:rsidR="00196089" w:rsidRPr="00823F6A" w:rsidRDefault="00196089" w:rsidP="00196089">
      <w:pPr>
        <w:ind w:firstLine="567"/>
        <w:contextualSpacing/>
        <w:jc w:val="both"/>
      </w:pPr>
      <w:bookmarkStart w:id="0" w:name="P49"/>
      <w:bookmarkEnd w:id="0"/>
      <w:r w:rsidRPr="00823F6A">
        <w:t>1.1. Настоящим Положением определяется порядок представления Главой Казского городского поселения (далее - Глава)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96089" w:rsidRPr="00823F6A" w:rsidRDefault="00196089" w:rsidP="00196089">
      <w:pPr>
        <w:ind w:firstLine="567"/>
        <w:contextualSpacing/>
        <w:jc w:val="both"/>
      </w:pPr>
      <w:r w:rsidRPr="00823F6A">
        <w:t>1.1.1 Глава представляет ежегодно:</w:t>
      </w:r>
    </w:p>
    <w:p w:rsidR="00196089" w:rsidRPr="00823F6A" w:rsidRDefault="00196089" w:rsidP="00196089">
      <w:pPr>
        <w:ind w:firstLine="567"/>
        <w:contextualSpacing/>
        <w:jc w:val="both"/>
      </w:pPr>
      <w:r w:rsidRPr="00823F6A"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96089" w:rsidRPr="00823F6A" w:rsidRDefault="00196089" w:rsidP="00196089">
      <w:pPr>
        <w:ind w:firstLine="567"/>
        <w:contextualSpacing/>
        <w:jc w:val="both"/>
      </w:pPr>
      <w:r w:rsidRPr="00823F6A"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196089" w:rsidRPr="00823F6A" w:rsidRDefault="00196089" w:rsidP="00196089">
      <w:pPr>
        <w:ind w:firstLine="567"/>
        <w:contextualSpacing/>
        <w:jc w:val="both"/>
      </w:pPr>
      <w:r w:rsidRPr="00823F6A">
        <w:t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Совета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96089" w:rsidRPr="00823F6A" w:rsidRDefault="00196089" w:rsidP="00196089">
      <w:pPr>
        <w:ind w:firstLine="567"/>
        <w:contextualSpacing/>
        <w:jc w:val="both"/>
      </w:pPr>
      <w:r w:rsidRPr="00823F6A">
        <w:t>1.2. Сведения, указанные в подпункте 1.1.1настоящего Положения, представляются Главой ежегодно не позднее 1 апреля года, следующего за отчетным годом, согласно форме, утверждаемой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должностному лицу Администрации, ответственному за ведение кадровой работы (далее – кадровая служба).</w:t>
      </w:r>
    </w:p>
    <w:p w:rsidR="00196089" w:rsidRPr="00823F6A" w:rsidRDefault="00196089" w:rsidP="00196089">
      <w:pPr>
        <w:ind w:firstLine="567"/>
        <w:contextualSpacing/>
        <w:jc w:val="both"/>
      </w:pPr>
      <w:r w:rsidRPr="00823F6A">
        <w:t>1.3. В случае если Глава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Глава вправе представить уточненные сведения в течение одного месяца после окончания срока, указанного в пункте 1.2 настоящего Положения.</w:t>
      </w:r>
    </w:p>
    <w:p w:rsidR="00196089" w:rsidRPr="00823F6A" w:rsidRDefault="00196089" w:rsidP="00196089">
      <w:pPr>
        <w:ind w:firstLine="567"/>
        <w:contextualSpacing/>
        <w:jc w:val="both"/>
      </w:pPr>
      <w:r w:rsidRPr="00823F6A">
        <w:t xml:space="preserve">1.4. В случае непредставления Главой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</w:t>
      </w:r>
      <w:r w:rsidRPr="00823F6A">
        <w:lastRenderedPageBreak/>
        <w:t>(супруга) и несовершеннолетних детей в срок, предусмотренный пунктом 1.2 настоящего Положения, данный факт подлежит рассмотрению кадровой службой.</w:t>
      </w:r>
    </w:p>
    <w:p w:rsidR="00196089" w:rsidRPr="00823F6A" w:rsidRDefault="00196089" w:rsidP="00196089">
      <w:pPr>
        <w:ind w:firstLine="567"/>
        <w:contextualSpacing/>
        <w:jc w:val="both"/>
      </w:pPr>
      <w:r w:rsidRPr="00823F6A">
        <w:t>1.5. Контроль за соответствием расходов лиц, указанных в пункте 1.1 настоящего Положения, их доходам осуществляется в порядке, определяемом законодательством Российской Федерации, нормативными правовыми актами Казского городского поселения.</w:t>
      </w:r>
    </w:p>
    <w:p w:rsidR="00196089" w:rsidRPr="00823F6A" w:rsidRDefault="00196089" w:rsidP="00196089">
      <w:pPr>
        <w:ind w:firstLine="567"/>
        <w:contextualSpacing/>
        <w:jc w:val="both"/>
      </w:pPr>
      <w:r w:rsidRPr="00823F6A">
        <w:t>1.6. В случае непредставления или представления заведомо ложных сведений о доходах, расходах, имуществе и обязательствах имущественного характера Глава несет ответственность в соответствии с законодательством Российской Федерации.</w:t>
      </w:r>
    </w:p>
    <w:p w:rsidR="00196089" w:rsidRPr="00823F6A" w:rsidRDefault="00196089" w:rsidP="00196089">
      <w:pPr>
        <w:ind w:firstLine="567"/>
        <w:contextualSpacing/>
        <w:jc w:val="both"/>
      </w:pPr>
      <w:r w:rsidRPr="00823F6A">
        <w:t>1.7. Сведения о доходах, расходах, об имуществе и обязательствах имущественного характера, представляемые Главой и не подлежащие размещению на официальном сайте Администрации Казского городского поселения являются сведениями конфиденциального характера (ограниченного доступа).</w:t>
      </w:r>
    </w:p>
    <w:p w:rsidR="00196089" w:rsidRPr="00823F6A" w:rsidRDefault="00196089" w:rsidP="00196089">
      <w:pPr>
        <w:ind w:firstLine="567"/>
        <w:contextualSpacing/>
        <w:jc w:val="both"/>
      </w:pPr>
      <w:bookmarkStart w:id="1" w:name="P71"/>
      <w:bookmarkEnd w:id="1"/>
    </w:p>
    <w:p w:rsidR="00196089" w:rsidRPr="00823F6A" w:rsidRDefault="00196089" w:rsidP="00196089">
      <w:pPr>
        <w:ind w:firstLine="567"/>
        <w:contextualSpacing/>
        <w:jc w:val="center"/>
      </w:pPr>
      <w:bookmarkStart w:id="2" w:name="P93"/>
      <w:bookmarkEnd w:id="2"/>
      <w:r w:rsidRPr="00823F6A">
        <w:t>2. Порядок размещения сведений о доходах, об имуществе и обязательствах имущественного характера Главой Казского городского поселения</w:t>
      </w:r>
    </w:p>
    <w:p w:rsidR="00196089" w:rsidRPr="00823F6A" w:rsidRDefault="00196089" w:rsidP="00196089">
      <w:pPr>
        <w:ind w:firstLine="567"/>
        <w:contextualSpacing/>
        <w:jc w:val="both"/>
      </w:pPr>
      <w:r w:rsidRPr="00823F6A">
        <w:t>2.1. Сведения о доходах, расходах, об обязательствах имущественного характера Главы его супруга и несовершеннолетних детей размещаются Комиссией в информационно-телекоммуникационной сети «Интернет» на официальном сайте Администрации Казского городского поселения (далее - официальный сайт) в течение 14 дней и предоставляются общероссийским средствам массовой информации для опубликования в связи с их запросами.</w:t>
      </w:r>
    </w:p>
    <w:p w:rsidR="00196089" w:rsidRPr="00823F6A" w:rsidRDefault="00196089" w:rsidP="00196089">
      <w:pPr>
        <w:ind w:firstLine="567"/>
        <w:contextualSpacing/>
        <w:jc w:val="both"/>
      </w:pPr>
      <w:bookmarkStart w:id="3" w:name="P100"/>
      <w:bookmarkEnd w:id="3"/>
      <w:r w:rsidRPr="00823F6A">
        <w:t>2.2. На официальном сайте размещаются и средствам массовой информации предоставляются для опубликования по форме согласно приложению к настоящему Положению следующие сведения о доходах, расходах, имуществе и об обязательствах имущественного характера:</w:t>
      </w:r>
    </w:p>
    <w:p w:rsidR="00196089" w:rsidRPr="00823F6A" w:rsidRDefault="00196089" w:rsidP="00196089">
      <w:pPr>
        <w:ind w:firstLine="567"/>
        <w:contextualSpacing/>
        <w:jc w:val="both"/>
      </w:pPr>
      <w:r w:rsidRPr="00823F6A">
        <w:t>а) перечень объектов недвижимого имущества, принадлежащих Главе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96089" w:rsidRPr="00823F6A" w:rsidRDefault="00196089" w:rsidP="00196089">
      <w:pPr>
        <w:ind w:firstLine="567"/>
        <w:contextualSpacing/>
        <w:jc w:val="both"/>
      </w:pPr>
      <w:r w:rsidRPr="00823F6A">
        <w:t>б) перечень транспортных средств с указанием вида и марки, принадлежащих на праве собственности Главе его супруге (супругу) и несовершеннолетним детям;</w:t>
      </w:r>
    </w:p>
    <w:p w:rsidR="00196089" w:rsidRPr="00823F6A" w:rsidRDefault="00196089" w:rsidP="00196089">
      <w:pPr>
        <w:ind w:firstLine="567"/>
        <w:contextualSpacing/>
        <w:jc w:val="both"/>
      </w:pPr>
      <w:r w:rsidRPr="00823F6A">
        <w:t>в) декларированный годовой доход Главы его супруги (супруга) и несовершеннолетних детей;</w:t>
      </w:r>
    </w:p>
    <w:p w:rsidR="00196089" w:rsidRPr="00823F6A" w:rsidRDefault="00196089" w:rsidP="00196089">
      <w:pPr>
        <w:ind w:firstLine="567"/>
        <w:contextualSpacing/>
        <w:jc w:val="both"/>
      </w:pPr>
      <w:r w:rsidRPr="00823F6A"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Главы и его супруги (супруга) за три последних года, предшествующих отчетному периоду.</w:t>
      </w:r>
    </w:p>
    <w:p w:rsidR="00196089" w:rsidRPr="00823F6A" w:rsidRDefault="00196089" w:rsidP="00196089">
      <w:pPr>
        <w:ind w:firstLine="567"/>
        <w:contextualSpacing/>
        <w:jc w:val="both"/>
      </w:pPr>
      <w:r w:rsidRPr="00823F6A">
        <w:t>2.3. В размещаемых на официальном сайте и предоставляемых средствам массовой информации для опубликования сведениях о доходах, расходах, имуществе и обязательствах имущественного характера запрещается указывать:</w:t>
      </w:r>
    </w:p>
    <w:p w:rsidR="00196089" w:rsidRPr="00823F6A" w:rsidRDefault="00196089" w:rsidP="00196089">
      <w:pPr>
        <w:ind w:firstLine="567"/>
        <w:contextualSpacing/>
        <w:jc w:val="both"/>
      </w:pPr>
      <w:r w:rsidRPr="00823F6A">
        <w:t>2.3.1. Иные сведения, кроме указанных в пункте 2.2 настоящего Положения, о доходах Главы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</w:p>
    <w:p w:rsidR="00196089" w:rsidRPr="00823F6A" w:rsidRDefault="00196089" w:rsidP="00196089">
      <w:pPr>
        <w:ind w:firstLine="567"/>
        <w:contextualSpacing/>
        <w:jc w:val="both"/>
      </w:pPr>
      <w:r w:rsidRPr="00823F6A">
        <w:t>2.3.2. Персональные данные супруги (супруга), детей и иных членов семьи Главы;</w:t>
      </w:r>
    </w:p>
    <w:p w:rsidR="00196089" w:rsidRPr="00823F6A" w:rsidRDefault="00196089" w:rsidP="00196089">
      <w:pPr>
        <w:ind w:firstLine="567"/>
        <w:contextualSpacing/>
        <w:jc w:val="both"/>
      </w:pPr>
      <w:r w:rsidRPr="00823F6A">
        <w:t>2.3.3. Данные, позволяющие определить место жительства, почтовый адрес, телефон и иные индивидуальные средства коммуникации Главы его супруги (супруга), детей и иных членов семьи Главы;</w:t>
      </w:r>
    </w:p>
    <w:p w:rsidR="00196089" w:rsidRPr="00823F6A" w:rsidRDefault="00196089" w:rsidP="00196089">
      <w:pPr>
        <w:ind w:firstLine="567"/>
        <w:contextualSpacing/>
        <w:jc w:val="both"/>
      </w:pPr>
      <w:r w:rsidRPr="00823F6A">
        <w:lastRenderedPageBreak/>
        <w:t>2.3.4.Данные, позволяющие определить местонахождение объектов недвижимого имущества, принадлежащих Главе его супруге (супругу), детям, иным членам семьи главы на праве собственности или находящихся в их пользовании;</w:t>
      </w:r>
    </w:p>
    <w:p w:rsidR="00196089" w:rsidRPr="00823F6A" w:rsidRDefault="00196089" w:rsidP="00196089">
      <w:pPr>
        <w:ind w:firstLine="567"/>
        <w:contextualSpacing/>
        <w:jc w:val="both"/>
      </w:pPr>
      <w:r w:rsidRPr="00823F6A">
        <w:t>2.3.5.Информацию, отнесенную к государственной тайне или являющуюся конфиденциальной.</w:t>
      </w:r>
    </w:p>
    <w:p w:rsidR="00196089" w:rsidRPr="00823F6A" w:rsidRDefault="00196089" w:rsidP="00196089">
      <w:pPr>
        <w:ind w:firstLine="567"/>
        <w:contextualSpacing/>
        <w:jc w:val="both"/>
      </w:pPr>
      <w:r w:rsidRPr="00823F6A">
        <w:t>2.4. В случае поступления в Администрацию Казского городского поселения запроса от общероссийского средства массовой информации о предоставлении ему сведений, указанных в пункте 2.2 настоящего Положения, кадровая служба:</w:t>
      </w:r>
    </w:p>
    <w:p w:rsidR="00196089" w:rsidRPr="00823F6A" w:rsidRDefault="00196089" w:rsidP="00196089">
      <w:pPr>
        <w:ind w:firstLine="567"/>
        <w:contextualSpacing/>
        <w:jc w:val="both"/>
      </w:pPr>
      <w:r w:rsidRPr="00823F6A">
        <w:t>2.4.1.В трехдневный срок со дня поступления запроса сообщает о нем лицу, в отношении которого поступил запрос;</w:t>
      </w:r>
    </w:p>
    <w:p w:rsidR="00196089" w:rsidRPr="00823F6A" w:rsidRDefault="00196089" w:rsidP="00196089">
      <w:pPr>
        <w:ind w:firstLine="567"/>
        <w:contextualSpacing/>
        <w:jc w:val="both"/>
      </w:pPr>
      <w:bookmarkStart w:id="4" w:name="_GoBack"/>
      <w:bookmarkEnd w:id="4"/>
      <w:r w:rsidRPr="00823F6A">
        <w:t>2.4.2.В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:rsidR="00196089" w:rsidRPr="00823F6A" w:rsidRDefault="00196089" w:rsidP="00196089">
      <w:pPr>
        <w:ind w:firstLine="567"/>
        <w:contextualSpacing/>
        <w:jc w:val="both"/>
      </w:pPr>
      <w:r w:rsidRPr="00823F6A">
        <w:t>2.5. Размещение на официальном сайте, уточнения сведений о доходах, расходах, об имуществе и обязательствах имущественного характера, представленных Главой, обеспечивается Комиссией в трехдневный срок со дня поступления уточнения.</w:t>
      </w:r>
    </w:p>
    <w:p w:rsidR="00196089" w:rsidRPr="00823F6A" w:rsidRDefault="00196089" w:rsidP="00196089">
      <w:pPr>
        <w:ind w:firstLine="567"/>
        <w:contextualSpacing/>
        <w:jc w:val="right"/>
      </w:pPr>
    </w:p>
    <w:p w:rsidR="00196089" w:rsidRDefault="00196089" w:rsidP="00196089">
      <w:pPr>
        <w:ind w:firstLine="567"/>
        <w:contextualSpacing/>
        <w:jc w:val="right"/>
        <w:sectPr w:rsidR="00196089" w:rsidSect="008E28A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96089" w:rsidRPr="00823F6A" w:rsidRDefault="00196089" w:rsidP="00196089">
      <w:pPr>
        <w:ind w:firstLine="567"/>
        <w:contextualSpacing/>
        <w:jc w:val="right"/>
      </w:pPr>
      <w:r w:rsidRPr="00823F6A">
        <w:lastRenderedPageBreak/>
        <w:t>Приложение</w:t>
      </w:r>
    </w:p>
    <w:p w:rsidR="00196089" w:rsidRPr="00823F6A" w:rsidRDefault="00196089" w:rsidP="00196089">
      <w:pPr>
        <w:ind w:firstLine="567"/>
        <w:contextualSpacing/>
        <w:jc w:val="right"/>
      </w:pPr>
      <w:r w:rsidRPr="00823F6A">
        <w:t>к Положению «О порядке представления сведений о доходах, расходах, об имуществе и обязательствах имущественного характера Главой муниципального образования «Казского городского поселения»»</w:t>
      </w:r>
    </w:p>
    <w:p w:rsidR="00196089" w:rsidRPr="00823F6A" w:rsidRDefault="00196089" w:rsidP="00196089">
      <w:pPr>
        <w:ind w:firstLine="567"/>
        <w:contextualSpacing/>
        <w:jc w:val="both"/>
      </w:pPr>
    </w:p>
    <w:p w:rsidR="00196089" w:rsidRPr="00823F6A" w:rsidRDefault="00196089" w:rsidP="00196089">
      <w:pPr>
        <w:ind w:firstLine="567"/>
        <w:contextualSpacing/>
        <w:jc w:val="center"/>
        <w:rPr>
          <w:b/>
        </w:rPr>
      </w:pPr>
      <w:bookmarkStart w:id="5" w:name="P130"/>
      <w:bookmarkEnd w:id="5"/>
      <w:r w:rsidRPr="00823F6A">
        <w:rPr>
          <w:b/>
        </w:rPr>
        <w:t>Сведения</w:t>
      </w:r>
    </w:p>
    <w:p w:rsidR="00196089" w:rsidRPr="00823F6A" w:rsidRDefault="00196089" w:rsidP="00196089">
      <w:pPr>
        <w:ind w:firstLine="567"/>
        <w:contextualSpacing/>
        <w:jc w:val="center"/>
        <w:rPr>
          <w:b/>
        </w:rPr>
      </w:pPr>
      <w:r w:rsidRPr="00823F6A">
        <w:rPr>
          <w:b/>
        </w:rPr>
        <w:t>о доходах, расходах, об имуществе и обязательствах</w:t>
      </w:r>
    </w:p>
    <w:p w:rsidR="00196089" w:rsidRPr="00823F6A" w:rsidRDefault="00196089" w:rsidP="00196089">
      <w:pPr>
        <w:ind w:firstLine="567"/>
        <w:contextualSpacing/>
        <w:jc w:val="center"/>
        <w:rPr>
          <w:b/>
        </w:rPr>
      </w:pPr>
      <w:r w:rsidRPr="00823F6A">
        <w:rPr>
          <w:b/>
        </w:rPr>
        <w:t>имущественного характера за период с 1 января 20__ г.</w:t>
      </w:r>
    </w:p>
    <w:p w:rsidR="00196089" w:rsidRDefault="00196089" w:rsidP="00196089">
      <w:pPr>
        <w:ind w:firstLine="567"/>
        <w:contextualSpacing/>
        <w:jc w:val="center"/>
        <w:rPr>
          <w:b/>
        </w:rPr>
      </w:pPr>
      <w:r w:rsidRPr="00823F6A">
        <w:rPr>
          <w:b/>
        </w:rPr>
        <w:t>по 31 декабря 20__ г.</w:t>
      </w:r>
    </w:p>
    <w:p w:rsidR="00196089" w:rsidRDefault="00196089" w:rsidP="00196089">
      <w:pPr>
        <w:ind w:firstLine="567"/>
        <w:contextualSpacing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8"/>
        <w:gridCol w:w="2022"/>
        <w:gridCol w:w="1719"/>
        <w:gridCol w:w="827"/>
        <w:gridCol w:w="1409"/>
        <w:gridCol w:w="903"/>
        <w:gridCol w:w="1379"/>
        <w:gridCol w:w="827"/>
        <w:gridCol w:w="903"/>
        <w:gridCol w:w="1379"/>
        <w:gridCol w:w="1393"/>
        <w:gridCol w:w="1539"/>
      </w:tblGrid>
      <w:tr w:rsidR="00196089" w:rsidRPr="00823F6A" w:rsidTr="003073C1">
        <w:trPr>
          <w:cantSplit/>
          <w:jc w:val="center"/>
        </w:trPr>
        <w:tc>
          <w:tcPr>
            <w:tcW w:w="428" w:type="dxa"/>
            <w:vMerge w:val="restart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  <w:r w:rsidRPr="00823F6A">
              <w:t>N п/п</w:t>
            </w:r>
          </w:p>
        </w:tc>
        <w:tc>
          <w:tcPr>
            <w:tcW w:w="2022" w:type="dxa"/>
            <w:vMerge w:val="restart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  <w:r w:rsidRPr="00823F6A">
              <w:t>Фамилия и инициалы, лица, чьи сведения размещаются</w:t>
            </w:r>
          </w:p>
        </w:tc>
        <w:tc>
          <w:tcPr>
            <w:tcW w:w="1719" w:type="dxa"/>
            <w:vMerge w:val="restart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  <w:r w:rsidRPr="00823F6A">
              <w:t>Декларированный годовой доход (руб.)</w:t>
            </w:r>
          </w:p>
        </w:tc>
        <w:tc>
          <w:tcPr>
            <w:tcW w:w="4518" w:type="dxa"/>
            <w:gridSpan w:val="4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  <w:r w:rsidRPr="00823F6A">
              <w:t>Объекты недвижимости, находящиеся в собственности</w:t>
            </w:r>
          </w:p>
        </w:tc>
        <w:tc>
          <w:tcPr>
            <w:tcW w:w="3109" w:type="dxa"/>
            <w:gridSpan w:val="3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  <w:r w:rsidRPr="00823F6A">
              <w:t>Объекты недвижимости, находящиеся в пользовании</w:t>
            </w:r>
          </w:p>
        </w:tc>
        <w:tc>
          <w:tcPr>
            <w:tcW w:w="1393" w:type="dxa"/>
            <w:vMerge w:val="restart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  <w:r w:rsidRPr="00823F6A">
              <w:t>Транспортные средства</w:t>
            </w:r>
          </w:p>
          <w:p w:rsidR="00196089" w:rsidRPr="00823F6A" w:rsidRDefault="00196089" w:rsidP="003073C1">
            <w:pPr>
              <w:contextualSpacing/>
              <w:jc w:val="both"/>
            </w:pPr>
            <w:r w:rsidRPr="00823F6A">
              <w:t>(вид, марка)</w:t>
            </w:r>
          </w:p>
        </w:tc>
        <w:tc>
          <w:tcPr>
            <w:tcW w:w="1539" w:type="dxa"/>
            <w:vMerge w:val="restart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  <w:r w:rsidRPr="00823F6A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96089" w:rsidRPr="00823F6A" w:rsidTr="003073C1">
        <w:trPr>
          <w:cantSplit/>
          <w:jc w:val="center"/>
        </w:trPr>
        <w:tc>
          <w:tcPr>
            <w:tcW w:w="0" w:type="auto"/>
            <w:vMerge/>
            <w:shd w:val="clear" w:color="auto" w:fill="F2FAFE"/>
            <w:vAlign w:val="center"/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F2FAFE"/>
            <w:vAlign w:val="center"/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F2FAFE"/>
            <w:vAlign w:val="center"/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827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196089" w:rsidRPr="00823F6A" w:rsidRDefault="00196089" w:rsidP="003073C1">
            <w:pPr>
              <w:contextualSpacing/>
              <w:jc w:val="both"/>
            </w:pPr>
            <w:r w:rsidRPr="00823F6A">
              <w:t>вид объекта</w:t>
            </w:r>
          </w:p>
        </w:tc>
        <w:tc>
          <w:tcPr>
            <w:tcW w:w="1409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196089" w:rsidRPr="00823F6A" w:rsidRDefault="00196089" w:rsidP="003073C1">
            <w:pPr>
              <w:contextualSpacing/>
              <w:jc w:val="both"/>
            </w:pPr>
            <w:r w:rsidRPr="00823F6A">
              <w:t>вид собственности</w:t>
            </w:r>
          </w:p>
        </w:tc>
        <w:tc>
          <w:tcPr>
            <w:tcW w:w="903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196089" w:rsidRPr="00823F6A" w:rsidRDefault="00196089" w:rsidP="003073C1">
            <w:pPr>
              <w:contextualSpacing/>
              <w:jc w:val="both"/>
            </w:pPr>
            <w:r w:rsidRPr="00823F6A">
              <w:t>площадь (кв. м)</w:t>
            </w:r>
          </w:p>
        </w:tc>
        <w:tc>
          <w:tcPr>
            <w:tcW w:w="1379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196089" w:rsidRPr="00823F6A" w:rsidRDefault="00196089" w:rsidP="003073C1">
            <w:pPr>
              <w:contextualSpacing/>
              <w:jc w:val="both"/>
            </w:pPr>
            <w:r w:rsidRPr="00823F6A">
              <w:t>страна расположения</w:t>
            </w:r>
          </w:p>
        </w:tc>
        <w:tc>
          <w:tcPr>
            <w:tcW w:w="827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196089" w:rsidRPr="00823F6A" w:rsidRDefault="00196089" w:rsidP="003073C1">
            <w:pPr>
              <w:contextualSpacing/>
              <w:jc w:val="both"/>
            </w:pPr>
            <w:r w:rsidRPr="00823F6A">
              <w:t>вид объекта</w:t>
            </w:r>
          </w:p>
        </w:tc>
        <w:tc>
          <w:tcPr>
            <w:tcW w:w="903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196089" w:rsidRPr="00823F6A" w:rsidRDefault="00196089" w:rsidP="003073C1">
            <w:pPr>
              <w:contextualSpacing/>
              <w:jc w:val="both"/>
            </w:pPr>
            <w:r w:rsidRPr="00823F6A">
              <w:t>площадь (кв. м)</w:t>
            </w:r>
          </w:p>
        </w:tc>
        <w:tc>
          <w:tcPr>
            <w:tcW w:w="1379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196089" w:rsidRPr="00823F6A" w:rsidRDefault="00196089" w:rsidP="003073C1">
            <w:pPr>
              <w:contextualSpacing/>
              <w:jc w:val="both"/>
            </w:pPr>
            <w:r w:rsidRPr="00823F6A">
              <w:t>страна расположения</w:t>
            </w:r>
          </w:p>
        </w:tc>
        <w:tc>
          <w:tcPr>
            <w:tcW w:w="0" w:type="auto"/>
            <w:vMerge/>
            <w:shd w:val="clear" w:color="auto" w:fill="F2FAFE"/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F2FAFE"/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</w:tr>
      <w:tr w:rsidR="00196089" w:rsidRPr="00823F6A" w:rsidTr="003073C1">
        <w:trPr>
          <w:cantSplit/>
          <w:jc w:val="center"/>
        </w:trPr>
        <w:tc>
          <w:tcPr>
            <w:tcW w:w="428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  <w:r w:rsidRPr="00823F6A">
              <w:t>1.</w:t>
            </w:r>
          </w:p>
        </w:tc>
        <w:tc>
          <w:tcPr>
            <w:tcW w:w="2022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1719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827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1409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2282" w:type="dxa"/>
            <w:gridSpan w:val="2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827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903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1379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1393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1539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</w:tr>
      <w:tr w:rsidR="00196089" w:rsidRPr="00823F6A" w:rsidTr="003073C1">
        <w:trPr>
          <w:cantSplit/>
          <w:jc w:val="center"/>
        </w:trPr>
        <w:tc>
          <w:tcPr>
            <w:tcW w:w="428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2022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  <w:r w:rsidRPr="00823F6A">
              <w:t>Супруг (супруга)</w:t>
            </w:r>
          </w:p>
        </w:tc>
        <w:tc>
          <w:tcPr>
            <w:tcW w:w="1719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827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1409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2282" w:type="dxa"/>
            <w:gridSpan w:val="2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827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903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1379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1393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1539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</w:tr>
      <w:tr w:rsidR="00196089" w:rsidRPr="00823F6A" w:rsidTr="003073C1">
        <w:trPr>
          <w:cantSplit/>
          <w:jc w:val="center"/>
        </w:trPr>
        <w:tc>
          <w:tcPr>
            <w:tcW w:w="428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2022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  <w:r w:rsidRPr="00823F6A">
              <w:t>Несовершеннолетний ребенок</w:t>
            </w:r>
          </w:p>
        </w:tc>
        <w:tc>
          <w:tcPr>
            <w:tcW w:w="1719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827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1409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2282" w:type="dxa"/>
            <w:gridSpan w:val="2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827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903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1379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1393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1539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</w:tr>
      <w:tr w:rsidR="00196089" w:rsidRPr="00823F6A" w:rsidTr="003073C1">
        <w:trPr>
          <w:cantSplit/>
          <w:jc w:val="center"/>
        </w:trPr>
        <w:tc>
          <w:tcPr>
            <w:tcW w:w="428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2022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1719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827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1409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2282" w:type="dxa"/>
            <w:gridSpan w:val="2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827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903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1379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1393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  <w:tc>
          <w:tcPr>
            <w:tcW w:w="1539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196089" w:rsidRPr="00823F6A" w:rsidRDefault="00196089" w:rsidP="003073C1">
            <w:pPr>
              <w:contextualSpacing/>
              <w:jc w:val="both"/>
            </w:pPr>
          </w:p>
        </w:tc>
      </w:tr>
    </w:tbl>
    <w:p w:rsidR="00196089" w:rsidRDefault="00196089" w:rsidP="00196089">
      <w:pPr>
        <w:ind w:firstLine="567"/>
        <w:contextualSpacing/>
        <w:jc w:val="both"/>
      </w:pPr>
      <w:bookmarkStart w:id="6" w:name="P194"/>
      <w:bookmarkEnd w:id="6"/>
    </w:p>
    <w:p w:rsidR="00196089" w:rsidRPr="00823F6A" w:rsidRDefault="00196089" w:rsidP="00196089">
      <w:pPr>
        <w:ind w:firstLine="567"/>
        <w:contextualSpacing/>
        <w:jc w:val="both"/>
      </w:pPr>
      <w:r w:rsidRPr="00823F6A">
        <w:t>* Сведения указываются, если сумма сделки превышает общий доход лица, замещающего муниципальную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6348FE" w:rsidRPr="00892D0B" w:rsidRDefault="006348FE" w:rsidP="00892D0B">
      <w:pPr>
        <w:tabs>
          <w:tab w:val="left" w:pos="2100"/>
        </w:tabs>
      </w:pPr>
    </w:p>
    <w:sectPr w:rsidR="006348FE" w:rsidRPr="00892D0B" w:rsidSect="008E28A3">
      <w:pgSz w:w="16838" w:h="11906" w:orient="landscape"/>
      <w:pgMar w:top="993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F37" w:rsidRDefault="00806F37" w:rsidP="00C6035A">
      <w:r>
        <w:separator/>
      </w:r>
    </w:p>
  </w:endnote>
  <w:endnote w:type="continuationSeparator" w:id="1">
    <w:p w:rsidR="00806F37" w:rsidRDefault="00806F37" w:rsidP="00C60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F37" w:rsidRDefault="00806F37" w:rsidP="00C6035A">
      <w:r>
        <w:separator/>
      </w:r>
    </w:p>
  </w:footnote>
  <w:footnote w:type="continuationSeparator" w:id="1">
    <w:p w:rsidR="00806F37" w:rsidRDefault="00806F37" w:rsidP="00C60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3E60"/>
    <w:multiLevelType w:val="hybridMultilevel"/>
    <w:tmpl w:val="F626D422"/>
    <w:lvl w:ilvl="0" w:tplc="C21E7F7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3A23C5"/>
    <w:multiLevelType w:val="multilevel"/>
    <w:tmpl w:val="EED4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35A"/>
    <w:rsid w:val="0000159C"/>
    <w:rsid w:val="00003751"/>
    <w:rsid w:val="00004762"/>
    <w:rsid w:val="0000598E"/>
    <w:rsid w:val="000068B4"/>
    <w:rsid w:val="00006F86"/>
    <w:rsid w:val="000079BF"/>
    <w:rsid w:val="0001147A"/>
    <w:rsid w:val="00012611"/>
    <w:rsid w:val="000130C4"/>
    <w:rsid w:val="0001649D"/>
    <w:rsid w:val="00020EA3"/>
    <w:rsid w:val="00021DEC"/>
    <w:rsid w:val="00024B85"/>
    <w:rsid w:val="0002581B"/>
    <w:rsid w:val="00027611"/>
    <w:rsid w:val="000323C1"/>
    <w:rsid w:val="000334E9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7173"/>
    <w:rsid w:val="000A1E18"/>
    <w:rsid w:val="000A4574"/>
    <w:rsid w:val="000A5074"/>
    <w:rsid w:val="000A5AC4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7FE"/>
    <w:rsid w:val="000E08D9"/>
    <w:rsid w:val="000E57B3"/>
    <w:rsid w:val="000F2386"/>
    <w:rsid w:val="000F5B99"/>
    <w:rsid w:val="000F619A"/>
    <w:rsid w:val="000F7737"/>
    <w:rsid w:val="000F78A0"/>
    <w:rsid w:val="00100566"/>
    <w:rsid w:val="00100A69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121BE"/>
    <w:rsid w:val="0011237A"/>
    <w:rsid w:val="001172D7"/>
    <w:rsid w:val="00124662"/>
    <w:rsid w:val="00125D5B"/>
    <w:rsid w:val="00126345"/>
    <w:rsid w:val="00132882"/>
    <w:rsid w:val="00132A81"/>
    <w:rsid w:val="00135E03"/>
    <w:rsid w:val="001416BA"/>
    <w:rsid w:val="00142899"/>
    <w:rsid w:val="001430CE"/>
    <w:rsid w:val="00144D85"/>
    <w:rsid w:val="00152178"/>
    <w:rsid w:val="00152DC6"/>
    <w:rsid w:val="00154C99"/>
    <w:rsid w:val="00156CCB"/>
    <w:rsid w:val="001571B2"/>
    <w:rsid w:val="00160609"/>
    <w:rsid w:val="00163374"/>
    <w:rsid w:val="00164CA3"/>
    <w:rsid w:val="001654DE"/>
    <w:rsid w:val="0016570A"/>
    <w:rsid w:val="00167501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089"/>
    <w:rsid w:val="00196504"/>
    <w:rsid w:val="00196F88"/>
    <w:rsid w:val="00197DE4"/>
    <w:rsid w:val="001A149B"/>
    <w:rsid w:val="001A1656"/>
    <w:rsid w:val="001A552C"/>
    <w:rsid w:val="001A5F04"/>
    <w:rsid w:val="001A6337"/>
    <w:rsid w:val="001A7CD3"/>
    <w:rsid w:val="001B09D2"/>
    <w:rsid w:val="001B2161"/>
    <w:rsid w:val="001B7330"/>
    <w:rsid w:val="001C4254"/>
    <w:rsid w:val="001C7DED"/>
    <w:rsid w:val="001D2172"/>
    <w:rsid w:val="001D2540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6A1"/>
    <w:rsid w:val="00220800"/>
    <w:rsid w:val="00220A52"/>
    <w:rsid w:val="00222632"/>
    <w:rsid w:val="00224704"/>
    <w:rsid w:val="00226F0B"/>
    <w:rsid w:val="002315E3"/>
    <w:rsid w:val="00231CAA"/>
    <w:rsid w:val="00231D04"/>
    <w:rsid w:val="002327A0"/>
    <w:rsid w:val="0023545A"/>
    <w:rsid w:val="00236C88"/>
    <w:rsid w:val="0024183F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7E92"/>
    <w:rsid w:val="0027037D"/>
    <w:rsid w:val="002709E9"/>
    <w:rsid w:val="0027102F"/>
    <w:rsid w:val="00271356"/>
    <w:rsid w:val="00271C1F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1111"/>
    <w:rsid w:val="002B25BE"/>
    <w:rsid w:val="002B4215"/>
    <w:rsid w:val="002B4445"/>
    <w:rsid w:val="002B496E"/>
    <w:rsid w:val="002B4C17"/>
    <w:rsid w:val="002B5BE8"/>
    <w:rsid w:val="002B5D1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E4F40"/>
    <w:rsid w:val="002E5523"/>
    <w:rsid w:val="002E6933"/>
    <w:rsid w:val="002E770D"/>
    <w:rsid w:val="002F2F82"/>
    <w:rsid w:val="002F4FAA"/>
    <w:rsid w:val="002F5559"/>
    <w:rsid w:val="002F78B7"/>
    <w:rsid w:val="003006B3"/>
    <w:rsid w:val="00301C57"/>
    <w:rsid w:val="003020F8"/>
    <w:rsid w:val="00303925"/>
    <w:rsid w:val="0030706F"/>
    <w:rsid w:val="00307863"/>
    <w:rsid w:val="00307DD0"/>
    <w:rsid w:val="003106AC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558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3F64A3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344F"/>
    <w:rsid w:val="00426519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7816"/>
    <w:rsid w:val="004710C7"/>
    <w:rsid w:val="00472283"/>
    <w:rsid w:val="00473656"/>
    <w:rsid w:val="00476929"/>
    <w:rsid w:val="00481D1E"/>
    <w:rsid w:val="0048230C"/>
    <w:rsid w:val="004832DC"/>
    <w:rsid w:val="00483690"/>
    <w:rsid w:val="0048551C"/>
    <w:rsid w:val="00491364"/>
    <w:rsid w:val="00494263"/>
    <w:rsid w:val="0049487F"/>
    <w:rsid w:val="004969A0"/>
    <w:rsid w:val="004A0E55"/>
    <w:rsid w:val="004A30D5"/>
    <w:rsid w:val="004A3351"/>
    <w:rsid w:val="004A69A6"/>
    <w:rsid w:val="004B0171"/>
    <w:rsid w:val="004B272E"/>
    <w:rsid w:val="004B3B9E"/>
    <w:rsid w:val="004B4327"/>
    <w:rsid w:val="004B6024"/>
    <w:rsid w:val="004B617E"/>
    <w:rsid w:val="004B621E"/>
    <w:rsid w:val="004B7FB6"/>
    <w:rsid w:val="004C196A"/>
    <w:rsid w:val="004C3207"/>
    <w:rsid w:val="004C4E44"/>
    <w:rsid w:val="004C53C6"/>
    <w:rsid w:val="004C5965"/>
    <w:rsid w:val="004C59EA"/>
    <w:rsid w:val="004C6330"/>
    <w:rsid w:val="004C6D4F"/>
    <w:rsid w:val="004C763A"/>
    <w:rsid w:val="004D0A23"/>
    <w:rsid w:val="004D6BBC"/>
    <w:rsid w:val="004E0775"/>
    <w:rsid w:val="004E3C2D"/>
    <w:rsid w:val="004E4FFB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3E75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D9A"/>
    <w:rsid w:val="00556735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DB4"/>
    <w:rsid w:val="00591475"/>
    <w:rsid w:val="00591EA5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113E"/>
    <w:rsid w:val="005B175F"/>
    <w:rsid w:val="005B30B4"/>
    <w:rsid w:val="005B3AF5"/>
    <w:rsid w:val="005B3D5E"/>
    <w:rsid w:val="005B7F9D"/>
    <w:rsid w:val="005C439E"/>
    <w:rsid w:val="005C548C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22D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6C57"/>
    <w:rsid w:val="00632EEE"/>
    <w:rsid w:val="006348FE"/>
    <w:rsid w:val="00634A65"/>
    <w:rsid w:val="00634ADC"/>
    <w:rsid w:val="00635D0A"/>
    <w:rsid w:val="00636B5F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90903"/>
    <w:rsid w:val="00690E9A"/>
    <w:rsid w:val="00691CAA"/>
    <w:rsid w:val="00692E73"/>
    <w:rsid w:val="00693429"/>
    <w:rsid w:val="0069430B"/>
    <w:rsid w:val="006952C6"/>
    <w:rsid w:val="00696F12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699C"/>
    <w:rsid w:val="006C6C3E"/>
    <w:rsid w:val="006C6F6E"/>
    <w:rsid w:val="006C7663"/>
    <w:rsid w:val="006D0B2A"/>
    <w:rsid w:val="006D33C9"/>
    <w:rsid w:val="006E1E35"/>
    <w:rsid w:val="006E4F65"/>
    <w:rsid w:val="006E53A7"/>
    <w:rsid w:val="006E5B48"/>
    <w:rsid w:val="006F1189"/>
    <w:rsid w:val="006F28D0"/>
    <w:rsid w:val="006F3B22"/>
    <w:rsid w:val="006F3D0D"/>
    <w:rsid w:val="006F582F"/>
    <w:rsid w:val="006F6508"/>
    <w:rsid w:val="00700BF4"/>
    <w:rsid w:val="00703861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7198"/>
    <w:rsid w:val="00750032"/>
    <w:rsid w:val="00752700"/>
    <w:rsid w:val="00753BFB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A2A9D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A9C"/>
    <w:rsid w:val="007C3C52"/>
    <w:rsid w:val="007C3D7F"/>
    <w:rsid w:val="007C6286"/>
    <w:rsid w:val="007C74D1"/>
    <w:rsid w:val="007D0DD6"/>
    <w:rsid w:val="007D193C"/>
    <w:rsid w:val="007D4C76"/>
    <w:rsid w:val="007D5B74"/>
    <w:rsid w:val="007D6193"/>
    <w:rsid w:val="007D6AD8"/>
    <w:rsid w:val="007D72C9"/>
    <w:rsid w:val="007E30CB"/>
    <w:rsid w:val="007E67E0"/>
    <w:rsid w:val="007E6D79"/>
    <w:rsid w:val="007F01A8"/>
    <w:rsid w:val="007F2FC0"/>
    <w:rsid w:val="007F4A60"/>
    <w:rsid w:val="007F4B6C"/>
    <w:rsid w:val="007F5DE8"/>
    <w:rsid w:val="007F5FF1"/>
    <w:rsid w:val="007F7B79"/>
    <w:rsid w:val="007F7B9E"/>
    <w:rsid w:val="00801D8A"/>
    <w:rsid w:val="00802A09"/>
    <w:rsid w:val="00804518"/>
    <w:rsid w:val="008054F0"/>
    <w:rsid w:val="00806F37"/>
    <w:rsid w:val="00807727"/>
    <w:rsid w:val="00807930"/>
    <w:rsid w:val="00810289"/>
    <w:rsid w:val="00813D36"/>
    <w:rsid w:val="00816B42"/>
    <w:rsid w:val="00816E7E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58FF"/>
    <w:rsid w:val="0083687A"/>
    <w:rsid w:val="0083735D"/>
    <w:rsid w:val="008440F2"/>
    <w:rsid w:val="00846290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5AB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4F6F"/>
    <w:rsid w:val="008853E8"/>
    <w:rsid w:val="00885D06"/>
    <w:rsid w:val="00886206"/>
    <w:rsid w:val="00892D0B"/>
    <w:rsid w:val="00892F4B"/>
    <w:rsid w:val="00893EB9"/>
    <w:rsid w:val="0089418B"/>
    <w:rsid w:val="008964EA"/>
    <w:rsid w:val="00897E6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E22"/>
    <w:rsid w:val="008B529D"/>
    <w:rsid w:val="008B6C9C"/>
    <w:rsid w:val="008B7FB0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D7765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16DC7"/>
    <w:rsid w:val="0092346C"/>
    <w:rsid w:val="009247B7"/>
    <w:rsid w:val="0092480C"/>
    <w:rsid w:val="00925A69"/>
    <w:rsid w:val="00925BA3"/>
    <w:rsid w:val="009260F2"/>
    <w:rsid w:val="00926951"/>
    <w:rsid w:val="00926C5D"/>
    <w:rsid w:val="00926D40"/>
    <w:rsid w:val="00930603"/>
    <w:rsid w:val="0093068D"/>
    <w:rsid w:val="00931687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51B7D"/>
    <w:rsid w:val="00954FF3"/>
    <w:rsid w:val="00957FCA"/>
    <w:rsid w:val="00961329"/>
    <w:rsid w:val="009616D2"/>
    <w:rsid w:val="00961E1A"/>
    <w:rsid w:val="009640A8"/>
    <w:rsid w:val="009644E1"/>
    <w:rsid w:val="00966517"/>
    <w:rsid w:val="00966BAB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90B9C"/>
    <w:rsid w:val="00991042"/>
    <w:rsid w:val="009921FA"/>
    <w:rsid w:val="00993508"/>
    <w:rsid w:val="00996974"/>
    <w:rsid w:val="009970BC"/>
    <w:rsid w:val="00997B8B"/>
    <w:rsid w:val="009A12AE"/>
    <w:rsid w:val="009A5113"/>
    <w:rsid w:val="009A52BF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103B"/>
    <w:rsid w:val="00A0148E"/>
    <w:rsid w:val="00A02D92"/>
    <w:rsid w:val="00A06E78"/>
    <w:rsid w:val="00A117D8"/>
    <w:rsid w:val="00A17D59"/>
    <w:rsid w:val="00A20B9E"/>
    <w:rsid w:val="00A216F7"/>
    <w:rsid w:val="00A227EB"/>
    <w:rsid w:val="00A22C28"/>
    <w:rsid w:val="00A26E47"/>
    <w:rsid w:val="00A30367"/>
    <w:rsid w:val="00A30920"/>
    <w:rsid w:val="00A32149"/>
    <w:rsid w:val="00A32190"/>
    <w:rsid w:val="00A321BA"/>
    <w:rsid w:val="00A330E8"/>
    <w:rsid w:val="00A33A14"/>
    <w:rsid w:val="00A34EDB"/>
    <w:rsid w:val="00A36C91"/>
    <w:rsid w:val="00A37D2B"/>
    <w:rsid w:val="00A415CB"/>
    <w:rsid w:val="00A41DE1"/>
    <w:rsid w:val="00A426FB"/>
    <w:rsid w:val="00A43057"/>
    <w:rsid w:val="00A44257"/>
    <w:rsid w:val="00A452B3"/>
    <w:rsid w:val="00A50E32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459B"/>
    <w:rsid w:val="00A946BA"/>
    <w:rsid w:val="00A9591B"/>
    <w:rsid w:val="00A964A4"/>
    <w:rsid w:val="00A9698E"/>
    <w:rsid w:val="00A96B0D"/>
    <w:rsid w:val="00A96C85"/>
    <w:rsid w:val="00A96CFC"/>
    <w:rsid w:val="00AA4088"/>
    <w:rsid w:val="00AB0B6F"/>
    <w:rsid w:val="00AB0C05"/>
    <w:rsid w:val="00AB2172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3D3E"/>
    <w:rsid w:val="00AC5CA9"/>
    <w:rsid w:val="00AC6A7B"/>
    <w:rsid w:val="00AD05B5"/>
    <w:rsid w:val="00AD17E6"/>
    <w:rsid w:val="00AD27EF"/>
    <w:rsid w:val="00AD50FF"/>
    <w:rsid w:val="00AD5D9D"/>
    <w:rsid w:val="00AD66CC"/>
    <w:rsid w:val="00AD7810"/>
    <w:rsid w:val="00AE0066"/>
    <w:rsid w:val="00AE283B"/>
    <w:rsid w:val="00AE4491"/>
    <w:rsid w:val="00AE46EF"/>
    <w:rsid w:val="00AE4BD8"/>
    <w:rsid w:val="00AE4C3C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1796"/>
    <w:rsid w:val="00B12E38"/>
    <w:rsid w:val="00B13FD3"/>
    <w:rsid w:val="00B15096"/>
    <w:rsid w:val="00B16E8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40C1A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80618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E8B"/>
    <w:rsid w:val="00BF2CDE"/>
    <w:rsid w:val="00BF6229"/>
    <w:rsid w:val="00BF7884"/>
    <w:rsid w:val="00C01CA2"/>
    <w:rsid w:val="00C02402"/>
    <w:rsid w:val="00C03303"/>
    <w:rsid w:val="00C045A9"/>
    <w:rsid w:val="00C0542D"/>
    <w:rsid w:val="00C07FF9"/>
    <w:rsid w:val="00C1059F"/>
    <w:rsid w:val="00C12983"/>
    <w:rsid w:val="00C14252"/>
    <w:rsid w:val="00C16432"/>
    <w:rsid w:val="00C20A21"/>
    <w:rsid w:val="00C22E91"/>
    <w:rsid w:val="00C232A6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035A"/>
    <w:rsid w:val="00C6199E"/>
    <w:rsid w:val="00C64338"/>
    <w:rsid w:val="00C647A9"/>
    <w:rsid w:val="00C64A3C"/>
    <w:rsid w:val="00C6651E"/>
    <w:rsid w:val="00C705BD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58E5"/>
    <w:rsid w:val="00CA65BF"/>
    <w:rsid w:val="00CB1B37"/>
    <w:rsid w:val="00CB21F5"/>
    <w:rsid w:val="00CC0F09"/>
    <w:rsid w:val="00CC3070"/>
    <w:rsid w:val="00CC5370"/>
    <w:rsid w:val="00CC5D6E"/>
    <w:rsid w:val="00CD1326"/>
    <w:rsid w:val="00CD3898"/>
    <w:rsid w:val="00CD3AB1"/>
    <w:rsid w:val="00CD4823"/>
    <w:rsid w:val="00CD4CB6"/>
    <w:rsid w:val="00CD5668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7EC1"/>
    <w:rsid w:val="00D00D95"/>
    <w:rsid w:val="00D01C2C"/>
    <w:rsid w:val="00D01E98"/>
    <w:rsid w:val="00D03B73"/>
    <w:rsid w:val="00D1434F"/>
    <w:rsid w:val="00D147FA"/>
    <w:rsid w:val="00D14E04"/>
    <w:rsid w:val="00D15990"/>
    <w:rsid w:val="00D16A97"/>
    <w:rsid w:val="00D205A5"/>
    <w:rsid w:val="00D212D3"/>
    <w:rsid w:val="00D25A43"/>
    <w:rsid w:val="00D2799B"/>
    <w:rsid w:val="00D27BF1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C02"/>
    <w:rsid w:val="00D43444"/>
    <w:rsid w:val="00D447EE"/>
    <w:rsid w:val="00D46785"/>
    <w:rsid w:val="00D474B5"/>
    <w:rsid w:val="00D51E42"/>
    <w:rsid w:val="00D54547"/>
    <w:rsid w:val="00D54D4C"/>
    <w:rsid w:val="00D55606"/>
    <w:rsid w:val="00D55F21"/>
    <w:rsid w:val="00D562D0"/>
    <w:rsid w:val="00D6059D"/>
    <w:rsid w:val="00D65961"/>
    <w:rsid w:val="00D678BB"/>
    <w:rsid w:val="00D701A8"/>
    <w:rsid w:val="00D7384C"/>
    <w:rsid w:val="00D74C65"/>
    <w:rsid w:val="00D76CC7"/>
    <w:rsid w:val="00D81638"/>
    <w:rsid w:val="00D831FD"/>
    <w:rsid w:val="00D83737"/>
    <w:rsid w:val="00D84710"/>
    <w:rsid w:val="00D84F6E"/>
    <w:rsid w:val="00D855DA"/>
    <w:rsid w:val="00D86BF1"/>
    <w:rsid w:val="00D91879"/>
    <w:rsid w:val="00D93369"/>
    <w:rsid w:val="00D93AA8"/>
    <w:rsid w:val="00D944F9"/>
    <w:rsid w:val="00D94B14"/>
    <w:rsid w:val="00D94F48"/>
    <w:rsid w:val="00D955C6"/>
    <w:rsid w:val="00D95D91"/>
    <w:rsid w:val="00DA02F9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2EEB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2532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347B"/>
    <w:rsid w:val="00E244A1"/>
    <w:rsid w:val="00E2596A"/>
    <w:rsid w:val="00E2615D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5C64"/>
    <w:rsid w:val="00E6696B"/>
    <w:rsid w:val="00E727F6"/>
    <w:rsid w:val="00E74420"/>
    <w:rsid w:val="00E74425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05B6"/>
    <w:rsid w:val="00EA2366"/>
    <w:rsid w:val="00EA3384"/>
    <w:rsid w:val="00EA55F7"/>
    <w:rsid w:val="00EA65C0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BBC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720D"/>
    <w:rsid w:val="00ED773E"/>
    <w:rsid w:val="00EE1113"/>
    <w:rsid w:val="00EE226F"/>
    <w:rsid w:val="00EE2736"/>
    <w:rsid w:val="00EE2D42"/>
    <w:rsid w:val="00EE2EF5"/>
    <w:rsid w:val="00EE51B6"/>
    <w:rsid w:val="00EE629D"/>
    <w:rsid w:val="00EF0CC9"/>
    <w:rsid w:val="00EF1E80"/>
    <w:rsid w:val="00EF794C"/>
    <w:rsid w:val="00EF7C3E"/>
    <w:rsid w:val="00EF7CE1"/>
    <w:rsid w:val="00F03327"/>
    <w:rsid w:val="00F0344C"/>
    <w:rsid w:val="00F0458E"/>
    <w:rsid w:val="00F05E7B"/>
    <w:rsid w:val="00F07F5D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41D70"/>
    <w:rsid w:val="00F4444B"/>
    <w:rsid w:val="00F4646A"/>
    <w:rsid w:val="00F5071D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5EB"/>
    <w:rsid w:val="00F7156B"/>
    <w:rsid w:val="00F72138"/>
    <w:rsid w:val="00F727C8"/>
    <w:rsid w:val="00F73624"/>
    <w:rsid w:val="00F73FC5"/>
    <w:rsid w:val="00F7666A"/>
    <w:rsid w:val="00F80E43"/>
    <w:rsid w:val="00F81336"/>
    <w:rsid w:val="00F81941"/>
    <w:rsid w:val="00F81A8F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4162"/>
    <w:rsid w:val="00FB61ED"/>
    <w:rsid w:val="00FB7F3B"/>
    <w:rsid w:val="00FD1844"/>
    <w:rsid w:val="00FD1BF7"/>
    <w:rsid w:val="00FD1E07"/>
    <w:rsid w:val="00FD236B"/>
    <w:rsid w:val="00FD29C8"/>
    <w:rsid w:val="00FD50D6"/>
    <w:rsid w:val="00FD6630"/>
    <w:rsid w:val="00FD7B29"/>
    <w:rsid w:val="00FE03A1"/>
    <w:rsid w:val="00FE3CD8"/>
    <w:rsid w:val="00FE3E9C"/>
    <w:rsid w:val="00FE476E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31D3"/>
    <w:rsid w:val="00FF5326"/>
    <w:rsid w:val="00FF6845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60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603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2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9681662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2017-01-27T10:46:00Z</cp:lastPrinted>
  <dcterms:created xsi:type="dcterms:W3CDTF">2021-01-22T05:06:00Z</dcterms:created>
  <dcterms:modified xsi:type="dcterms:W3CDTF">2021-01-22T05:06:00Z</dcterms:modified>
</cp:coreProperties>
</file>