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85" w:h="2242" w:hRule="exact" w:wrap="none" w:vAnchor="page" w:hAnchor="page" w:x="1407" w:y="93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РОССИЙСКАЯ ФЕДЕРАЦИЯ</w:t>
        <w:br/>
        <w:t>КЕМЕРОВСКАЯ ОБЛАСТЬ</w:t>
        <w:br/>
        <w:t>ТАШТАГОЛЬСКИЙ МУНИЦИПАЛЬНЫЙ РАЙОН</w:t>
        <w:br/>
        <w:t>СОВЕТ НАРОДНЫХ ДЕПУТАТОВ КАЗСКОГО ГОРОДСКОГО ПОСЕЛЕНИЯ</w:t>
      </w:r>
    </w:p>
    <w:p>
      <w:pPr>
        <w:pStyle w:val="Style3"/>
        <w:framePr w:w="9485" w:h="2242" w:hRule="exact" w:wrap="none" w:vAnchor="page" w:hAnchor="page" w:x="1407" w:y="934"/>
        <w:widowControl w:val="0"/>
        <w:keepNext w:val="0"/>
        <w:keepLines w:val="0"/>
        <w:shd w:val="clear" w:color="auto" w:fill="auto"/>
        <w:bidi w:val="0"/>
        <w:spacing w:before="0" w:after="358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ТРЕТИЙ СОЗЫВ</w:t>
      </w:r>
    </w:p>
    <w:p>
      <w:pPr>
        <w:pStyle w:val="Style3"/>
        <w:framePr w:w="9485" w:h="2242" w:hRule="exact" w:wrap="none" w:vAnchor="page" w:hAnchor="page" w:x="1407" w:y="93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</w:t>
      </w:r>
    </w:p>
    <w:p>
      <w:pPr>
        <w:pStyle w:val="Style5"/>
        <w:framePr w:w="9485" w:h="12220" w:hRule="exact" w:wrap="none" w:vAnchor="page" w:hAnchor="page" w:x="1407" w:y="3432"/>
        <w:widowControl w:val="0"/>
        <w:keepNext w:val="0"/>
        <w:keepLines w:val="0"/>
        <w:shd w:val="clear" w:color="auto" w:fill="auto"/>
        <w:bidi w:val="0"/>
        <w:jc w:val="left"/>
        <w:spacing w:before="0" w:after="372"/>
        <w:ind w:left="0" w:right="4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25 октября 2016 года № 57 принято Советом народных депутатов Казского городского поселения</w:t>
      </w:r>
    </w:p>
    <w:p>
      <w:pPr>
        <w:pStyle w:val="Style7"/>
        <w:framePr w:w="9485" w:h="12220" w:hRule="exact" w:wrap="none" w:vAnchor="page" w:hAnchor="page" w:x="1407" w:y="34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 установлении земельного налога на территории Казского</w:t>
      </w:r>
      <w:bookmarkEnd w:id="0"/>
    </w:p>
    <w:p>
      <w:pPr>
        <w:pStyle w:val="Style7"/>
        <w:framePr w:w="9485" w:h="12220" w:hRule="exact" w:wrap="none" w:vAnchor="page" w:hAnchor="page" w:x="1407" w:y="3432"/>
        <w:widowControl w:val="0"/>
        <w:keepNext w:val="0"/>
        <w:keepLines w:val="0"/>
        <w:shd w:val="clear" w:color="auto" w:fill="auto"/>
        <w:bidi w:val="0"/>
        <w:jc w:val="center"/>
        <w:spacing w:before="0" w:after="313" w:line="280" w:lineRule="exact"/>
        <w:ind w:left="0" w:right="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городского поселения</w:t>
      </w:r>
      <w:bookmarkEnd w:id="1"/>
    </w:p>
    <w:p>
      <w:pPr>
        <w:pStyle w:val="Style9"/>
        <w:framePr w:w="9485" w:h="12220" w:hRule="exact" w:wrap="none" w:vAnchor="page" w:hAnchor="page" w:x="1407" w:y="3432"/>
        <w:widowControl w:val="0"/>
        <w:keepNext w:val="0"/>
        <w:keepLines w:val="0"/>
        <w:shd w:val="clear" w:color="auto" w:fill="auto"/>
        <w:bidi w:val="0"/>
        <w:spacing w:before="0" w:after="33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главой 31 «земельный налог»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Казского городского поселения, Совет народных депутатов Казского городского поселения</w:t>
      </w:r>
    </w:p>
    <w:p>
      <w:pPr>
        <w:pStyle w:val="Style9"/>
        <w:framePr w:w="9485" w:h="12220" w:hRule="exact" w:wrap="none" w:vAnchor="page" w:hAnchor="page" w:x="1407" w:y="3432"/>
        <w:widowControl w:val="0"/>
        <w:keepNext w:val="0"/>
        <w:keepLines w:val="0"/>
        <w:shd w:val="clear" w:color="auto" w:fill="auto"/>
        <w:bidi w:val="0"/>
        <w:jc w:val="left"/>
        <w:spacing w:before="0" w:after="313" w:line="280" w:lineRule="exact"/>
        <w:ind w:left="4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Решил:</w:t>
      </w:r>
    </w:p>
    <w:p>
      <w:pPr>
        <w:pStyle w:val="Style9"/>
        <w:numPr>
          <w:ilvl w:val="0"/>
          <w:numId w:val="1"/>
        </w:numPr>
        <w:framePr w:w="9485" w:h="12220" w:hRule="exact" w:wrap="none" w:vAnchor="page" w:hAnchor="page" w:x="1407" w:y="343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Ввести на территории муниципального образования Казское городское поселение земельный налог.</w:t>
      </w:r>
    </w:p>
    <w:p>
      <w:pPr>
        <w:pStyle w:val="Style9"/>
        <w:numPr>
          <w:ilvl w:val="0"/>
          <w:numId w:val="1"/>
        </w:numPr>
        <w:framePr w:w="9485" w:h="12220" w:hRule="exact" w:wrap="none" w:vAnchor="page" w:hAnchor="page" w:x="1407" w:y="343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на территории муниципального образования ставки земельного налога.</w:t>
      </w:r>
    </w:p>
    <w:p>
      <w:pPr>
        <w:pStyle w:val="Style9"/>
        <w:numPr>
          <w:ilvl w:val="1"/>
          <w:numId w:val="1"/>
        </w:numPr>
        <w:framePr w:w="9485" w:h="12220" w:hRule="exact" w:wrap="none" w:vAnchor="page" w:hAnchor="page" w:x="1407" w:y="3432"/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размере 0,3 процента от кадастровой стоимости земельного участка:</w:t>
      </w:r>
    </w:p>
    <w:p>
      <w:pPr>
        <w:pStyle w:val="Style9"/>
        <w:numPr>
          <w:ilvl w:val="2"/>
          <w:numId w:val="1"/>
        </w:numPr>
        <w:framePr w:w="9485" w:h="12220" w:hRule="exact" w:wrap="none" w:vAnchor="page" w:hAnchor="page" w:x="1407" w:y="3432"/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>
      <w:pPr>
        <w:pStyle w:val="Style9"/>
        <w:numPr>
          <w:ilvl w:val="2"/>
          <w:numId w:val="1"/>
        </w:numPr>
        <w:framePr w:w="9485" w:h="12220" w:hRule="exact" w:wrap="none" w:vAnchor="page" w:hAnchor="page" w:x="1407" w:y="3432"/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pStyle w:val="Style9"/>
        <w:numPr>
          <w:ilvl w:val="2"/>
          <w:numId w:val="1"/>
        </w:numPr>
        <w:framePr w:w="9485" w:h="12220" w:hRule="exact" w:wrap="none" w:vAnchor="page" w:hAnchor="page" w:x="1407" w:y="3432"/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земельных участков, приобретенных (предоставленных) для личного подсобного хозяйства, садоводства, огородничества, животноводства, а также дачного хозяйства;</w:t>
      </w:r>
    </w:p>
    <w:p>
      <w:pPr>
        <w:pStyle w:val="Style9"/>
        <w:numPr>
          <w:ilvl w:val="2"/>
          <w:numId w:val="1"/>
        </w:numPr>
        <w:framePr w:w="9485" w:h="12220" w:hRule="exact" w:wrap="none" w:vAnchor="page" w:hAnchor="page" w:x="1407" w:y="3432"/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470" w:h="345" w:hRule="exact" w:wrap="none" w:vAnchor="page" w:hAnchor="page" w:x="1414" w:y="61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размере 1,5 процента от кадастровой стоимости земельного участка в отношении прочих земельных участков.</w:t>
      </w:r>
    </w:p>
    <w:p>
      <w:pPr>
        <w:pStyle w:val="Style9"/>
        <w:numPr>
          <w:ilvl w:val="0"/>
          <w:numId w:val="1"/>
        </w:numPr>
        <w:framePr w:w="9470" w:h="14798" w:hRule="exact" w:wrap="none" w:vAnchor="page" w:hAnchor="page" w:x="1414" w:y="954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порядок и сроки уплаты земельного налога.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Налогоплательщики, в отношении которых отчетный период определен как квартал, исчислят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Организации уплачивают авансовые платежи - не позднее 30 апреля, 31 июля и 31 октября.</w:t>
      </w:r>
    </w:p>
    <w:p>
      <w:pPr>
        <w:pStyle w:val="Style9"/>
        <w:framePr w:w="9470" w:h="14798" w:hRule="exact" w:wrap="none" w:vAnchor="page" w:hAnchor="page" w:x="1414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уплаты налога (по итогам года) — не позднее 1 февраля года, следующего за налоговым периодом.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 подлежит уплате налогоплательщики — физическими лицами в срок не позднее 1 декабря года, следующего за истекшим налоговым периодом.</w:t>
      </w:r>
    </w:p>
    <w:p>
      <w:pPr>
        <w:pStyle w:val="Style9"/>
        <w:numPr>
          <w:ilvl w:val="0"/>
          <w:numId w:val="1"/>
        </w:numPr>
        <w:framePr w:w="9470" w:h="14798" w:hRule="exact" w:wrap="none" w:vAnchor="page" w:hAnchor="page" w:x="1414" w:y="954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порядок и сроки предоставления в налоговые органы документов, подтверждающих право на уменьшение налоговой базы.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Налогоплательщики организации - одновременно с предоставлением декларации по земельному налогу.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являющихся объектом налогообложения на территории муниципального образования, льготы, установленные в соответствии со статьей 395 Налогового кодекса РФ, действуют в полном объеме.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Документы, подтверждающие право на уменьшение налоговой базы в случаях, установленных пунктом 5 статьи 391 Налогового кодекса РФ, предоставляются налогоплательщиками в налоговый орган по месту нахождения земельного участка - в срок не позднее 1 февраля года, следующего за истекшим налоговым периодом.</w:t>
      </w:r>
    </w:p>
    <w:p>
      <w:pPr>
        <w:pStyle w:val="Style9"/>
        <w:numPr>
          <w:ilvl w:val="0"/>
          <w:numId w:val="1"/>
        </w:numPr>
        <w:framePr w:w="9470" w:h="14798" w:hRule="exact" w:wrap="none" w:vAnchor="page" w:hAnchor="page" w:x="1414" w:y="954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уплаты земельного налога полностью освобождаются: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управления, бюджетные организации и учреждения, финансируемые за счет средств местного бюджета;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2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- в отношении земельных участков, занятых</w:t>
      </w:r>
    </w:p>
    <w:p>
      <w:pPr>
        <w:pStyle w:val="Style9"/>
        <w:framePr w:w="9470" w:h="14798" w:hRule="exact" w:wrap="none" w:vAnchor="page" w:hAnchor="page" w:x="1414" w:y="954"/>
        <w:tabs>
          <w:tab w:leader="none" w:pos="5582" w:val="left"/>
          <w:tab w:leader="none" w:pos="6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муниципальным жилищным фондом</w:t>
        <w:tab/>
        <w:t>и</w:t>
        <w:tab/>
        <w:t>объектами инженерной</w:t>
      </w:r>
    </w:p>
    <w:p>
      <w:pPr>
        <w:pStyle w:val="Style9"/>
        <w:framePr w:w="9470" w:h="14798" w:hRule="exact" w:wrap="none" w:vAnchor="page" w:hAnchor="page" w:x="1414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 коммунального комплекса);</w:t>
      </w:r>
    </w:p>
    <w:p>
      <w:pPr>
        <w:pStyle w:val="Style9"/>
        <w:numPr>
          <w:ilvl w:val="1"/>
          <w:numId w:val="1"/>
        </w:numPr>
        <w:framePr w:w="9470" w:h="14798" w:hRule="exact" w:wrap="none" w:vAnchor="page" w:hAnchor="page" w:x="1414" w:y="954"/>
        <w:tabs>
          <w:tab w:leader="none" w:pos="1490" w:val="left"/>
          <w:tab w:leader="none" w:pos="5582" w:val="left"/>
          <w:tab w:leader="none" w:pos="6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дополнительно</w:t>
        <w:tab/>
        <w:t>к</w:t>
        <w:tab/>
        <w:t>федеральным льготам,</w:t>
      </w:r>
    </w:p>
    <w:p>
      <w:pPr>
        <w:pStyle w:val="Style9"/>
        <w:framePr w:w="9470" w:h="14798" w:hRule="exact" w:wrap="none" w:vAnchor="page" w:hAnchor="page" w:x="1414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предусмотренным статьями 391, 395 Налогового кодекса РФ местные льготы в виде освобождения от уплаты земельного налога для следующих категорий налогоплательщиков:</w:t>
      </w:r>
    </w:p>
    <w:p>
      <w:pPr>
        <w:pStyle w:val="Style9"/>
        <w:framePr w:w="9470" w:h="14798" w:hRule="exact" w:wrap="none" w:vAnchor="page" w:hAnchor="page" w:x="1414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ветеранов и инвалидов Великой Отечественной войны - при представлении копии удостоверения ветерана или инвалида Великой Отечественной войны;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092" w:y="7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9"/>
        <w:framePr w:w="9485" w:h="11635" w:hRule="exact" w:wrap="none" w:vAnchor="page" w:hAnchor="page" w:x="1407" w:y="926"/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малообеспеченных одиноко проживающих граждан, имеющих</w:t>
        <w:br/>
        <w:t>доход ниже величины прожиточного минимума, установленного в</w:t>
        <w:br/>
        <w:t>Кемеровской области, - при представлении справки Управления социальной</w:t>
        <w:br/>
        <w:t>защиты населения Администрации Таштагольского муниципального района</w:t>
        <w:br/>
        <w:t>об отнесении налогоплательщика к категории малообеспеченных;</w:t>
      </w:r>
    </w:p>
    <w:p>
      <w:pPr>
        <w:pStyle w:val="Style9"/>
        <w:numPr>
          <w:ilvl w:val="0"/>
          <w:numId w:val="3"/>
        </w:numPr>
        <w:framePr w:w="9485" w:h="11635" w:hRule="exact" w:wrap="none" w:vAnchor="page" w:hAnchor="page" w:x="1407" w:y="926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физических лиц, проживающих в малообеспеченных семьях, в которых</w:t>
        <w:br/>
        <w:t>среднедушевой доход ниже прожиточного минимума, установленного в</w:t>
        <w:br/>
        <w:t>Кемеровской области, при этом семьей признаются совместно проживающие</w:t>
        <w:br/>
        <w:t>супруги, родители и дети (усыновители и усыновленные), - при</w:t>
        <w:br/>
        <w:t>представлении справки Управления социальной защиты населения</w:t>
        <w:br/>
        <w:t>Администрации Таштагольского муниципального района об отнесении</w:t>
        <w:br/>
        <w:t>налогоплательщика к категории малообеспеченных;</w:t>
      </w:r>
    </w:p>
    <w:p>
      <w:pPr>
        <w:pStyle w:val="Style9"/>
        <w:numPr>
          <w:ilvl w:val="0"/>
          <w:numId w:val="3"/>
        </w:numPr>
        <w:framePr w:w="9485" w:h="11635" w:hRule="exact" w:wrap="none" w:vAnchor="page" w:hAnchor="page" w:x="1407" w:y="926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садоводческие, огороднические, дачные объединения граждан, а также</w:t>
        <w:br/>
        <w:t>членов этих объединений.</w:t>
      </w:r>
    </w:p>
    <w:p>
      <w:pPr>
        <w:pStyle w:val="Style9"/>
        <w:framePr w:w="9485" w:h="11635" w:hRule="exact" w:wrap="none" w:vAnchor="page" w:hAnchor="page" w:x="1407" w:y="926"/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5.6. Предоставление в налоговый орган документов, подтверждающих</w:t>
        <w:br/>
        <w:t>право на льготу по земельному налогу, осуществляется в следующие сроки:</w:t>
        <w:br/>
        <w:t>для налогоплательщиков - физических лиц, в срок не позднее 1 апреля года,</w:t>
        <w:br/>
        <w:t>следующего за истекшим налоговым периодом</w:t>
      </w:r>
    </w:p>
    <w:p>
      <w:pPr>
        <w:pStyle w:val="Style9"/>
        <w:numPr>
          <w:ilvl w:val="0"/>
          <w:numId w:val="1"/>
        </w:numPr>
        <w:framePr w:w="9485" w:h="11635" w:hRule="exact" w:wrap="none" w:vAnchor="page" w:hAnchor="page" w:x="1407" w:y="926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Совета народных депутатов Казского городского поселения</w:t>
        <w:br/>
        <w:t>от 30.10.2015г.№ 14 «Об установлении земельного налога на 2016 год» и</w:t>
        <w:br/>
        <w:t>Решение Совета народных депутатов Казского городского поселения от</w:t>
        <w:br/>
        <w:t>29.12.2015г.№ 27 «Об отмене решения Совета народных депутатов Казского</w:t>
        <w:br/>
        <w:t>городского поселения от 28 декабря 2015 года «О внесении изменений в</w:t>
        <w:br/>
        <w:t>решение Совета народных депутатов Казского городского поселения</w:t>
        <w:br/>
        <w:t>отЗО. 10.2015 № «Об установлении земельного налога на 2016 год», о</w:t>
        <w:br/>
        <w:t>внесении изменений в решение Совета народных депутатов Казского</w:t>
        <w:br/>
        <w:t>городского поселения отЗ0.10.2015 года № 14 «Об установлении земельного</w:t>
        <w:br/>
        <w:t>налога на 2016 год» утрачивают силу с момента вступления в законную силу</w:t>
        <w:br/>
        <w:t>настоящего решения.</w:t>
      </w:r>
    </w:p>
    <w:p>
      <w:pPr>
        <w:pStyle w:val="Style9"/>
        <w:numPr>
          <w:ilvl w:val="0"/>
          <w:numId w:val="1"/>
        </w:numPr>
        <w:framePr w:w="9485" w:h="11635" w:hRule="exact" w:wrap="none" w:vAnchor="page" w:hAnchor="page" w:x="1407" w:y="926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вступает в силу не ранее чем по истечении одного</w:t>
        <w:br/>
        <w:t>месяца со дня его официального опубликования в Официальном вестнике</w:t>
        <w:br/>
        <w:t>газеты «Красная Шория» и не ранее 1-го числа очередного налогового</w:t>
        <w:br/>
        <w:t>периода.</w:t>
      </w:r>
    </w:p>
    <w:p>
      <w:pPr>
        <w:pStyle w:val="Style9"/>
        <w:numPr>
          <w:ilvl w:val="0"/>
          <w:numId w:val="1"/>
        </w:numPr>
        <w:framePr w:w="9485" w:h="11635" w:hRule="exact" w:wrap="none" w:vAnchor="page" w:hAnchor="page" w:x="1407" w:y="926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подлежит размещению в информационно -</w:t>
      </w:r>
    </w:p>
    <w:p>
      <w:pPr>
        <w:pStyle w:val="Style9"/>
        <w:framePr w:w="9485" w:h="11635" w:hRule="exact" w:wrap="none" w:vAnchor="page" w:hAnchor="page" w:x="1407" w:y="926"/>
        <w:tabs>
          <w:tab w:leader="none" w:pos="6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телекоммуникационной сети «Интернет» на официальном сайте</w:t>
        <w:br/>
        <w:t>администрации Казского гор*</w:t>
        <w:tab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d.ru</w:t>
      </w:r>
    </w:p>
    <w:p>
      <w:pPr>
        <w:pStyle w:val="Style9"/>
        <w:framePr w:wrap="none" w:vAnchor="page" w:hAnchor="page" w:x="1407" w:y="1509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91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Казского городского ш</w:t>
      </w:r>
    </w:p>
    <w:p>
      <w:pPr>
        <w:pStyle w:val="Style9"/>
        <w:framePr w:w="9485" w:h="826" w:hRule="exact" w:wrap="none" w:vAnchor="page" w:hAnchor="page" w:x="1407" w:y="13517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" w:right="591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Совета народш</w:t>
        <w:br/>
        <w:t>Казского городского поселен</w:t>
      </w:r>
    </w:p>
    <w:p>
      <w:pPr>
        <w:framePr w:wrap="none" w:vAnchor="page" w:hAnchor="page" w:x="4978" w:y="122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6pt;height:223pt;">
            <v:imagedata r:id="rId5" r:href="rId6"/>
          </v:shape>
        </w:pict>
      </w:r>
    </w:p>
    <w:p>
      <w:pPr>
        <w:pStyle w:val="Style13"/>
        <w:framePr w:wrap="none" w:vAnchor="page" w:hAnchor="page" w:x="8660" w:y="139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Н.И. Пожникова</w:t>
      </w:r>
    </w:p>
    <w:p>
      <w:pPr>
        <w:pStyle w:val="Style13"/>
        <w:framePr w:wrap="none" w:vAnchor="page" w:hAnchor="page" w:x="8660" w:y="150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5"/>
        </w:rPr>
        <w:t>О.Г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Семенцов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Колонтитул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Подпись к картинк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Подпись к картинке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1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before="420" w:after="30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before="300"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420" w:after="3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  <w:jc w:val="center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