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A471D1" w:rsidRDefault="00A471D1" w:rsidP="00A471D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71D1" w:rsidRPr="00C626A0" w:rsidRDefault="00A471D1" w:rsidP="00A471D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A471D1" w:rsidRPr="00C626A0" w:rsidRDefault="00A471D1" w:rsidP="00A471D1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A471D1" w:rsidRPr="00C626A0" w:rsidRDefault="00A471D1" w:rsidP="00A471D1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471D1" w:rsidRDefault="00A471D1" w:rsidP="00A471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71D1" w:rsidRPr="00C626A0" w:rsidRDefault="00A471D1" w:rsidP="00A471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26A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27» декабря </w:t>
      </w:r>
      <w:r w:rsidRPr="00C626A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г. № </w:t>
      </w:r>
      <w:r w:rsidR="00E3700F">
        <w:rPr>
          <w:rFonts w:ascii="Times New Roman" w:hAnsi="Times New Roman" w:cs="Times New Roman"/>
          <w:sz w:val="28"/>
          <w:szCs w:val="28"/>
        </w:rPr>
        <w:t>73-п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626A0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A471D1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A4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A471D1" w:rsidP="00A4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 2020</w:t>
      </w:r>
      <w:r w:rsidR="00C62D9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2D96"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D96" w:rsidRPr="00966D1B" w:rsidRDefault="00C62D96" w:rsidP="005644F3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71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D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4A4B6D"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1D1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471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C62D96" w:rsidRPr="004A4B6D" w:rsidRDefault="00A471D1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2D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2D96" w:rsidRPr="004A4B6D">
        <w:rPr>
          <w:rFonts w:ascii="Times New Roman" w:hAnsi="Times New Roman"/>
          <w:sz w:val="28"/>
          <w:szCs w:val="28"/>
        </w:rPr>
        <w:t>Конт</w:t>
      </w:r>
      <w:r w:rsidR="00C62D96">
        <w:rPr>
          <w:rFonts w:ascii="Times New Roman" w:hAnsi="Times New Roman"/>
          <w:sz w:val="28"/>
          <w:szCs w:val="28"/>
        </w:rPr>
        <w:t>роль за</w:t>
      </w:r>
      <w:proofErr w:type="gramEnd"/>
      <w:r w:rsidR="00C62D96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62D96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 w:rsidR="00C62D96"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</w:t>
      </w:r>
      <w:r>
        <w:rPr>
          <w:rFonts w:ascii="Times New Roman" w:hAnsi="Times New Roman"/>
          <w:sz w:val="28"/>
          <w:szCs w:val="28"/>
        </w:rPr>
        <w:t>Белая Е</w:t>
      </w:r>
      <w:r w:rsidR="00C62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="00C62D96">
        <w:rPr>
          <w:rFonts w:ascii="Times New Roman" w:hAnsi="Times New Roman"/>
          <w:sz w:val="28"/>
          <w:szCs w:val="28"/>
        </w:rPr>
        <w:t>).</w:t>
      </w:r>
    </w:p>
    <w:p w:rsidR="00A471D1" w:rsidRDefault="00A471D1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44F3">
        <w:rPr>
          <w:rFonts w:ascii="Times New Roman" w:hAnsi="Times New Roman"/>
          <w:sz w:val="28"/>
          <w:szCs w:val="28"/>
        </w:rPr>
        <w:t>.</w:t>
      </w:r>
      <w:r w:rsidRPr="00A471D1">
        <w:rPr>
          <w:rFonts w:ascii="Times New Roman" w:hAnsi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CA37BC" w:rsidRPr="00CA37BC" w:rsidRDefault="005644F3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7BC" w:rsidRPr="00CA37BC">
        <w:rPr>
          <w:rFonts w:ascii="Times New Roman" w:hAnsi="Times New Roman"/>
          <w:sz w:val="28"/>
          <w:szCs w:val="28"/>
        </w:rPr>
        <w:t>.</w:t>
      </w:r>
      <w:r w:rsidR="00CA37BC">
        <w:rPr>
          <w:rFonts w:ascii="Times New Roman" w:hAnsi="Times New Roman"/>
          <w:sz w:val="28"/>
          <w:szCs w:val="28"/>
        </w:rPr>
        <w:t xml:space="preserve"> Постановление администрации Казского городского поселения от </w:t>
      </w:r>
      <w:r>
        <w:rPr>
          <w:rFonts w:ascii="Times New Roman" w:hAnsi="Times New Roman"/>
          <w:sz w:val="28"/>
          <w:szCs w:val="28"/>
        </w:rPr>
        <w:t>24.09.2018</w:t>
      </w:r>
      <w:r w:rsidR="008D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50</w:t>
      </w:r>
      <w:r w:rsidR="00CA37BC">
        <w:rPr>
          <w:rFonts w:ascii="Times New Roman" w:hAnsi="Times New Roman"/>
          <w:sz w:val="28"/>
          <w:szCs w:val="28"/>
        </w:rPr>
        <w:t xml:space="preserve">-П </w:t>
      </w:r>
      <w:r w:rsidR="00CA37BC" w:rsidRPr="00CA37BC">
        <w:rPr>
          <w:rFonts w:ascii="Times New Roman" w:hAnsi="Times New Roman"/>
          <w:sz w:val="28"/>
          <w:szCs w:val="28"/>
        </w:rPr>
        <w:t>«</w:t>
      </w:r>
      <w:r w:rsidR="00CA37BC" w:rsidRPr="00CA37BC">
        <w:rPr>
          <w:rFonts w:ascii="Times New Roman" w:hAnsi="Times New Roman"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="00CA37BC" w:rsidRPr="00CA37BC">
        <w:rPr>
          <w:rFonts w:ascii="Times New Roman" w:hAnsi="Times New Roman"/>
          <w:sz w:val="28"/>
          <w:szCs w:val="28"/>
        </w:rPr>
        <w:t>»</w:t>
      </w:r>
      <w:r w:rsidR="00CA3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="00CA37BC" w:rsidRPr="00CA37B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CA37BC" w:rsidRPr="00CA37BC">
        <w:rPr>
          <w:rFonts w:ascii="Times New Roman" w:hAnsi="Times New Roman"/>
          <w:sz w:val="28"/>
          <w:szCs w:val="28"/>
        </w:rPr>
        <w:t xml:space="preserve"> годы</w:t>
      </w:r>
      <w:r w:rsidR="00CA37BC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62D96" w:rsidRPr="004A4B6D" w:rsidRDefault="005644F3" w:rsidP="005644F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C62D96">
        <w:rPr>
          <w:rFonts w:ascii="Times New Roman" w:hAnsi="Times New Roman"/>
          <w:sz w:val="28"/>
          <w:szCs w:val="28"/>
        </w:rPr>
        <w:t>. Настоящее постановл</w:t>
      </w:r>
      <w:r>
        <w:rPr>
          <w:rFonts w:ascii="Times New Roman" w:hAnsi="Times New Roman"/>
          <w:sz w:val="28"/>
          <w:szCs w:val="28"/>
        </w:rPr>
        <w:t>ение вступает в силу с 01.01.2020</w:t>
      </w:r>
      <w:r w:rsidR="00C62D96">
        <w:rPr>
          <w:rFonts w:ascii="Times New Roman" w:hAnsi="Times New Roman"/>
          <w:sz w:val="28"/>
          <w:szCs w:val="28"/>
        </w:rPr>
        <w:t>г.</w:t>
      </w: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E3700F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2D96"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C62D96" w:rsidRPr="004A4B6D" w:rsidRDefault="00E3700F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62D96"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 w:rsidRPr="004A4B6D">
        <w:rPr>
          <w:rFonts w:ascii="Times New Roman" w:hAnsi="Times New Roman"/>
          <w:sz w:val="28"/>
          <w:szCs w:val="28"/>
        </w:rPr>
        <w:tab/>
      </w:r>
      <w:r w:rsidR="00C62D96">
        <w:rPr>
          <w:rFonts w:ascii="Times New Roman" w:hAnsi="Times New Roman"/>
          <w:sz w:val="28"/>
          <w:szCs w:val="28"/>
        </w:rPr>
        <w:t>О</w:t>
      </w:r>
      <w:r w:rsidR="00C62D96" w:rsidRPr="004A4B6D">
        <w:rPr>
          <w:rFonts w:ascii="Times New Roman" w:hAnsi="Times New Roman"/>
          <w:sz w:val="28"/>
          <w:szCs w:val="28"/>
        </w:rPr>
        <w:t>.</w:t>
      </w:r>
      <w:r w:rsidR="00C62D96">
        <w:rPr>
          <w:rFonts w:ascii="Times New Roman" w:hAnsi="Times New Roman"/>
          <w:sz w:val="28"/>
          <w:szCs w:val="28"/>
        </w:rPr>
        <w:t>Г</w:t>
      </w:r>
      <w:r w:rsidR="00C62D96" w:rsidRPr="004A4B6D">
        <w:rPr>
          <w:rFonts w:ascii="Times New Roman" w:hAnsi="Times New Roman"/>
          <w:sz w:val="28"/>
          <w:szCs w:val="28"/>
        </w:rPr>
        <w:t xml:space="preserve">. </w:t>
      </w:r>
      <w:r w:rsidR="00C62D96">
        <w:rPr>
          <w:rFonts w:ascii="Times New Roman" w:hAnsi="Times New Roman"/>
          <w:sz w:val="28"/>
          <w:szCs w:val="28"/>
        </w:rPr>
        <w:t>Семенцов</w:t>
      </w:r>
    </w:p>
    <w:p w:rsidR="00631B41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1B41" w:rsidRDefault="00631B4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D2CE1" w:rsidRDefault="00CA37BC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38D4" w:rsidRPr="00BB4EAF" w:rsidRDefault="008D2CE1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1B7A7A">
        <w:rPr>
          <w:rFonts w:ascii="Times New Roman" w:hAnsi="Times New Roman" w:cs="Times New Roman"/>
          <w:sz w:val="28"/>
          <w:szCs w:val="28"/>
        </w:rPr>
        <w:t>27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1B7A7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91E52">
        <w:rPr>
          <w:rFonts w:ascii="Times New Roman" w:hAnsi="Times New Roman" w:cs="Times New Roman"/>
          <w:sz w:val="28"/>
          <w:szCs w:val="28"/>
        </w:rPr>
        <w:t xml:space="preserve"> 201</w:t>
      </w:r>
      <w:r w:rsidR="001B7A7A">
        <w:rPr>
          <w:rFonts w:ascii="Times New Roman" w:hAnsi="Times New Roman" w:cs="Times New Roman"/>
          <w:sz w:val="28"/>
          <w:szCs w:val="28"/>
        </w:rPr>
        <w:t>9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0E5F">
        <w:rPr>
          <w:rFonts w:ascii="Times New Roman" w:hAnsi="Times New Roman" w:cs="Times New Roman"/>
          <w:sz w:val="28"/>
          <w:szCs w:val="28"/>
        </w:rPr>
        <w:t>73-п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A7A">
        <w:rPr>
          <w:rFonts w:ascii="Times New Roman" w:hAnsi="Times New Roman" w:cs="Times New Roman"/>
          <w:b/>
          <w:sz w:val="28"/>
          <w:szCs w:val="28"/>
        </w:rPr>
        <w:t>2020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1B7A7A">
        <w:rPr>
          <w:rFonts w:ascii="Times New Roman" w:hAnsi="Times New Roman" w:cs="Times New Roman"/>
          <w:b/>
          <w:sz w:val="28"/>
          <w:szCs w:val="28"/>
        </w:rPr>
        <w:t>2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 Казского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</w:t>
      </w:r>
      <w:r w:rsidR="001B7A7A">
        <w:rPr>
          <w:rFonts w:ascii="Times New Roman" w:hAnsi="Times New Roman" w:cs="Times New Roman"/>
          <w:sz w:val="28"/>
          <w:szCs w:val="28"/>
        </w:rPr>
        <w:t xml:space="preserve"> 2020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1B7A7A">
        <w:rPr>
          <w:rFonts w:ascii="Times New Roman" w:hAnsi="Times New Roman" w:cs="Times New Roman"/>
          <w:sz w:val="28"/>
          <w:szCs w:val="28"/>
        </w:rPr>
        <w:t>22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718EA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</w:t>
            </w:r>
            <w:r w:rsidR="001B7A7A">
              <w:rPr>
                <w:rFonts w:ascii="Times New Roman" w:hAnsi="Times New Roman" w:cs="Times New Roman"/>
              </w:rPr>
              <w:t>ого городского поселения» на 2020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</w:t>
            </w:r>
            <w:r w:rsidR="001B7A7A">
              <w:rPr>
                <w:rFonts w:ascii="Times New Roman" w:hAnsi="Times New Roman" w:cs="Times New Roman"/>
              </w:rPr>
              <w:t>2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1B7A7A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E3708">
              <w:rPr>
                <w:rFonts w:ascii="Times New Roman" w:hAnsi="Times New Roman" w:cs="Times New Roman"/>
              </w:rPr>
              <w:t xml:space="preserve"> </w:t>
            </w:r>
            <w:r w:rsidR="00D52E37"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  <w:r w:rsidR="001B7A7A">
              <w:rPr>
                <w:rFonts w:ascii="Times New Roman" w:hAnsi="Times New Roman" w:cs="Times New Roman"/>
              </w:rPr>
              <w:t xml:space="preserve">230 </w:t>
            </w:r>
            <w:r w:rsidRPr="002E370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2E3708" w:rsidRPr="002E3708" w:rsidRDefault="001B7A7A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год- 30</w:t>
            </w:r>
            <w:r w:rsidR="002E3708" w:rsidRPr="002E3708">
              <w:rPr>
                <w:rFonts w:ascii="Times New Roman" w:hAnsi="Times New Roman" w:cs="Times New Roman"/>
              </w:rPr>
              <w:t xml:space="preserve"> тыс. руб.;</w:t>
            </w:r>
          </w:p>
          <w:p w:rsidR="002E3708" w:rsidRPr="002E3708" w:rsidRDefault="001B7A7A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7A7A">
              <w:rPr>
                <w:rFonts w:ascii="Times New Roman" w:hAnsi="Times New Roman" w:cs="Times New Roman"/>
              </w:rPr>
              <w:t>2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1B7A7A" w:rsidRPr="00E47071" w:rsidRDefault="001B7A7A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8D1A3D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  <w:r w:rsidR="008D1A3D">
        <w:rPr>
          <w:rFonts w:ascii="Times New Roman" w:hAnsi="Times New Roman" w:cs="Times New Roman"/>
          <w:sz w:val="28"/>
          <w:szCs w:val="28"/>
        </w:rPr>
        <w:t>Казского</w:t>
      </w:r>
      <w:r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A3D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водозабор на р.</w:t>
      </w:r>
      <w:r w:rsidR="00CA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384968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="00C62D96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>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</w:t>
      </w:r>
      <w:r w:rsidR="008D1A3D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</w:t>
            </w:r>
            <w:r w:rsidR="00C6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</w:t>
      </w:r>
      <w:r w:rsidR="00631B41">
        <w:rPr>
          <w:b/>
          <w:sz w:val="28"/>
        </w:rPr>
        <w:t xml:space="preserve"> </w:t>
      </w:r>
      <w:r w:rsidRPr="00D65052">
        <w:rPr>
          <w:b/>
          <w:sz w:val="28"/>
        </w:rPr>
        <w:t>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юр. лицам</w:t>
      </w:r>
      <w:r>
        <w:rPr>
          <w:rFonts w:ascii="Calibri" w:hAnsi="Calibri" w:cs="Times New Roman"/>
          <w:color w:val="000000"/>
        </w:rPr>
        <w:t xml:space="preserve"> 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631B41" w:rsidRDefault="00631B41" w:rsidP="007E52CE">
      <w:pPr>
        <w:tabs>
          <w:tab w:val="left" w:pos="13215"/>
        </w:tabs>
      </w:pPr>
    </w:p>
    <w:p w:rsid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B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1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A2" w:rsidRDefault="00D951A2" w:rsidP="00D951A2">
      <w:pPr>
        <w:tabs>
          <w:tab w:val="left" w:pos="132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42"/>
        <w:gridCol w:w="1577"/>
        <w:gridCol w:w="1124"/>
        <w:gridCol w:w="794"/>
        <w:gridCol w:w="1058"/>
        <w:gridCol w:w="2010"/>
        <w:gridCol w:w="1489"/>
      </w:tblGrid>
      <w:tr w:rsidR="007E52CE" w:rsidRPr="007E52CE" w:rsidTr="00D951A2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точек поставки потребителям-гражданам (в </w:t>
            </w:r>
            <w:proofErr w:type="spell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кол-во</w:t>
            </w:r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 домов и квартир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</w:tr>
      <w:tr w:rsidR="007E52CE" w:rsidRPr="007E52CE" w:rsidTr="00D951A2">
        <w:trPr>
          <w:trHeight w:val="30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 АСКУЭ (в колонках 4, 5, 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отключенных от сети  (в колонках 4, 5, 6)</w:t>
            </w:r>
            <w:proofErr w:type="gramEnd"/>
          </w:p>
        </w:tc>
      </w:tr>
      <w:tr w:rsidR="007E52CE" w:rsidRPr="007E52CE" w:rsidTr="00D951A2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D951A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E52CE" w:rsidRPr="007E52CE" w:rsidTr="00D951A2">
        <w:trPr>
          <w:trHeight w:val="3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7E52CE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Каз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D951A2" w:rsidP="00D951A2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7E52CE" w:rsidP="007E5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7E52CE" w:rsidRDefault="00D951A2" w:rsidP="002B5DF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E52CE" w:rsidRP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5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Default="007E52CE" w:rsidP="007E52CE">
      <w:pPr>
        <w:tabs>
          <w:tab w:val="left" w:pos="1316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7E52CE" w:rsidRDefault="007E52CE" w:rsidP="007E52CE">
      <w:pPr>
        <w:tabs>
          <w:tab w:val="left" w:pos="13169"/>
        </w:tabs>
      </w:pPr>
    </w:p>
    <w:p w:rsidR="00631B41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631B41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631B41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E52CE" w:rsidRPr="004318BC">
        <w:rPr>
          <w:rFonts w:ascii="Times New Roman" w:hAnsi="Times New Roman" w:cs="Times New Roman"/>
          <w:sz w:val="28"/>
          <w:szCs w:val="28"/>
        </w:rPr>
        <w:t>Таблица 2</w:t>
      </w:r>
      <w:r w:rsidR="007E52CE"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p w:rsidR="007E52CE" w:rsidRDefault="007E52CE" w:rsidP="007E52C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318"/>
        <w:gridCol w:w="1160"/>
        <w:gridCol w:w="1300"/>
        <w:gridCol w:w="754"/>
        <w:gridCol w:w="1309"/>
        <w:gridCol w:w="754"/>
        <w:gridCol w:w="739"/>
        <w:gridCol w:w="1230"/>
        <w:gridCol w:w="669"/>
        <w:gridCol w:w="669"/>
      </w:tblGrid>
      <w:tr w:rsidR="00D65052" w:rsidRPr="00AA08C5" w:rsidTr="007B1E9B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точек поставки  юр. лицам (без ОДПУ), всего 9=10+11+12+13+14</w:t>
            </w:r>
          </w:p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пгт.Каз)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многоквартирных домов (МКД с ОДПУ), всего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трёхфазных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однофазных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с АСКУЭ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ОДПУ без АСКУЭ</w:t>
            </w:r>
          </w:p>
        </w:tc>
      </w:tr>
      <w:tr w:rsidR="00D65052" w:rsidRPr="00AA08C5" w:rsidTr="007B1E9B">
        <w:trPr>
          <w:trHeight w:val="30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счётчиками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подключёнными через </w:t>
            </w:r>
            <w:proofErr w:type="spell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</w:t>
            </w:r>
            <w:proofErr w:type="spell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тока (напряжения)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счётчиками непосредственного включения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учёта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электросчётчиками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 без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учётов у 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65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proofErr w:type="gramStart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ОДПУ (в колонках 10, 11, 13)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4318BC" w:rsidRDefault="007E52CE" w:rsidP="007B1E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5052" w:rsidRPr="00AA08C5" w:rsidTr="007B1E9B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D6505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D65052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65052" w:rsidRPr="00AA08C5" w:rsidTr="007B1E9B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D951A2" w:rsidRDefault="00631B41" w:rsidP="00631B4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7E52CE" w:rsidRPr="00D951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631B41" w:rsidP="00631B4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E52CE"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E52C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4318BC" w:rsidRDefault="007E52CE" w:rsidP="007B1E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E52CE" w:rsidRDefault="007E52CE" w:rsidP="007E52CE">
      <w:pPr>
        <w:ind w:firstLine="708"/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7E52CE" w:rsidRDefault="007E52CE" w:rsidP="00171F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CE1" w:rsidRDefault="008D2CE1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</w:t>
      </w:r>
      <w:r w:rsidR="00171F6F">
        <w:rPr>
          <w:rFonts w:ascii="Times New Roman" w:hAnsi="Times New Roman" w:cs="Times New Roman"/>
          <w:sz w:val="28"/>
          <w:szCs w:val="28"/>
        </w:rPr>
        <w:t xml:space="preserve"> достижения указанной цели в 2020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171F6F">
        <w:rPr>
          <w:rFonts w:ascii="Times New Roman" w:hAnsi="Times New Roman" w:cs="Times New Roman"/>
          <w:sz w:val="28"/>
          <w:szCs w:val="28"/>
        </w:rPr>
        <w:t>2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8D1A3D" w:rsidRPr="00171F6F" w:rsidRDefault="00F74293" w:rsidP="00171F6F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 w:rsidR="00171F6F">
        <w:rPr>
          <w:rFonts w:ascii="Times New Roman" w:hAnsi="Times New Roman" w:cs="Times New Roman"/>
          <w:sz w:val="28"/>
          <w:szCs w:val="28"/>
        </w:rPr>
        <w:t>.</w:t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2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</w:t>
      </w:r>
      <w:r w:rsidR="00171F6F">
        <w:rPr>
          <w:rFonts w:ascii="Times New Roman" w:hAnsi="Times New Roman" w:cs="Times New Roman"/>
          <w:sz w:val="28"/>
          <w:szCs w:val="28"/>
        </w:rPr>
        <w:t>тв местного бюджета в объеме 230</w:t>
      </w:r>
      <w:r w:rsidRPr="00753724">
        <w:rPr>
          <w:rFonts w:ascii="Times New Roman" w:hAnsi="Times New Roman" w:cs="Times New Roman"/>
          <w:sz w:val="28"/>
          <w:szCs w:val="28"/>
        </w:rPr>
        <w:t>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В </w:t>
      </w:r>
      <w:r w:rsidR="00171F6F">
        <w:rPr>
          <w:rFonts w:ascii="Times New Roman" w:hAnsi="Times New Roman" w:cs="Times New Roman"/>
          <w:sz w:val="28"/>
          <w:szCs w:val="28"/>
        </w:rPr>
        <w:t>2020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171F6F">
        <w:rPr>
          <w:rFonts w:ascii="Times New Roman" w:hAnsi="Times New Roman" w:cs="Times New Roman"/>
          <w:sz w:val="28"/>
          <w:szCs w:val="28"/>
        </w:rPr>
        <w:t>2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</w:t>
      </w:r>
      <w:r w:rsidR="00171F6F">
        <w:rPr>
          <w:rFonts w:ascii="Times New Roman" w:hAnsi="Times New Roman" w:cs="Times New Roman"/>
          <w:sz w:val="28"/>
          <w:szCs w:val="28"/>
        </w:rPr>
        <w:t>23</w:t>
      </w:r>
      <w:r w:rsidRPr="00F74293">
        <w:rPr>
          <w:rFonts w:ascii="Times New Roman" w:hAnsi="Times New Roman" w:cs="Times New Roman"/>
          <w:sz w:val="28"/>
          <w:szCs w:val="28"/>
        </w:rPr>
        <w:t>0 тыс. руб., в том числе по годам:</w:t>
      </w:r>
    </w:p>
    <w:p w:rsidR="00F74293" w:rsidRPr="00F74293" w:rsidRDefault="00171F6F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- 30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171F6F">
        <w:rPr>
          <w:rFonts w:ascii="Times New Roman" w:hAnsi="Times New Roman" w:cs="Times New Roman"/>
          <w:sz w:val="28"/>
          <w:szCs w:val="28"/>
        </w:rPr>
        <w:t>21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171F6F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="00CF393E">
        <w:rPr>
          <w:rFonts w:ascii="Times New Roman" w:hAnsi="Times New Roman" w:cs="Times New Roman"/>
          <w:sz w:val="28"/>
          <w:szCs w:val="28"/>
        </w:rPr>
        <w:t>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171F6F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631B41" w:rsidRDefault="00257560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0E5F" w:rsidRDefault="00690E5F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1F7" w:rsidRDefault="008D51F7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57560" w:rsidRDefault="00257560" w:rsidP="00671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p w:rsidR="00690E5F" w:rsidRPr="00257560" w:rsidRDefault="00690E5F" w:rsidP="006718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D55952" w:rsidP="00CA37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57560"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D55952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57560"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D55952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</w:t>
            </w:r>
            <w:r w:rsidR="006F13D6">
              <w:rPr>
                <w:rFonts w:ascii="Times New Roman" w:hAnsi="Times New Roman" w:cs="Times New Roman"/>
                <w:b/>
              </w:rPr>
              <w:t>2</w:t>
            </w:r>
            <w:r w:rsidR="00D55952">
              <w:rPr>
                <w:rFonts w:ascii="Times New Roman" w:hAnsi="Times New Roman" w:cs="Times New Roman"/>
                <w:b/>
              </w:rPr>
              <w:t>2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6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D65052">
        <w:trPr>
          <w:trHeight w:val="1323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D65052" w:rsidRPr="00257560" w:rsidTr="00D65052">
        <w:trPr>
          <w:trHeight w:val="780"/>
        </w:trPr>
        <w:tc>
          <w:tcPr>
            <w:tcW w:w="637" w:type="dxa"/>
          </w:tcPr>
          <w:p w:rsidR="00D65052" w:rsidRDefault="00D65052" w:rsidP="00257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5" w:type="dxa"/>
          </w:tcPr>
          <w:p w:rsidR="00D65052" w:rsidRPr="00257560" w:rsidRDefault="00D65052" w:rsidP="00D650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и ремонт подстанций, сетей электро</w:t>
            </w: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1158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1080" w:type="dxa"/>
          </w:tcPr>
          <w:p w:rsidR="00D65052" w:rsidRPr="00257560" w:rsidRDefault="003A512F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80" w:type="dxa"/>
          </w:tcPr>
          <w:p w:rsidR="00D65052" w:rsidRPr="0025756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080" w:type="dxa"/>
          </w:tcPr>
          <w:p w:rsidR="00257560" w:rsidRPr="0025756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631B41">
      <w:pgSz w:w="11906" w:h="16838"/>
      <w:pgMar w:top="1418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C3B70"/>
    <w:rsid w:val="00100ABE"/>
    <w:rsid w:val="001120BB"/>
    <w:rsid w:val="00156607"/>
    <w:rsid w:val="00171F6F"/>
    <w:rsid w:val="00175008"/>
    <w:rsid w:val="001B7A7A"/>
    <w:rsid w:val="00204A38"/>
    <w:rsid w:val="002136D9"/>
    <w:rsid w:val="00234F60"/>
    <w:rsid w:val="002561AD"/>
    <w:rsid w:val="00256307"/>
    <w:rsid w:val="00257560"/>
    <w:rsid w:val="0028292A"/>
    <w:rsid w:val="002B5DFB"/>
    <w:rsid w:val="002D38F9"/>
    <w:rsid w:val="002E2422"/>
    <w:rsid w:val="002E3708"/>
    <w:rsid w:val="00312D22"/>
    <w:rsid w:val="00333FA2"/>
    <w:rsid w:val="00384968"/>
    <w:rsid w:val="00384F28"/>
    <w:rsid w:val="00391E52"/>
    <w:rsid w:val="003A512F"/>
    <w:rsid w:val="00433085"/>
    <w:rsid w:val="0046254B"/>
    <w:rsid w:val="00555384"/>
    <w:rsid w:val="005644F3"/>
    <w:rsid w:val="00572E8E"/>
    <w:rsid w:val="005927BD"/>
    <w:rsid w:val="00626F35"/>
    <w:rsid w:val="00631B41"/>
    <w:rsid w:val="00642F24"/>
    <w:rsid w:val="006575ED"/>
    <w:rsid w:val="006718EA"/>
    <w:rsid w:val="00681D83"/>
    <w:rsid w:val="00690E5F"/>
    <w:rsid w:val="006A2915"/>
    <w:rsid w:val="006A38D4"/>
    <w:rsid w:val="006D62F8"/>
    <w:rsid w:val="006F13D6"/>
    <w:rsid w:val="00753724"/>
    <w:rsid w:val="007A3D48"/>
    <w:rsid w:val="007C06E4"/>
    <w:rsid w:val="007E52CE"/>
    <w:rsid w:val="008548B8"/>
    <w:rsid w:val="00861AF2"/>
    <w:rsid w:val="008B6DA6"/>
    <w:rsid w:val="008C2161"/>
    <w:rsid w:val="008D1A3D"/>
    <w:rsid w:val="008D2CE1"/>
    <w:rsid w:val="008D51F7"/>
    <w:rsid w:val="00907E3D"/>
    <w:rsid w:val="00912E16"/>
    <w:rsid w:val="00942F19"/>
    <w:rsid w:val="00975EF7"/>
    <w:rsid w:val="00985747"/>
    <w:rsid w:val="009C6561"/>
    <w:rsid w:val="00A03961"/>
    <w:rsid w:val="00A200FD"/>
    <w:rsid w:val="00A471D1"/>
    <w:rsid w:val="00A6100B"/>
    <w:rsid w:val="00A934A2"/>
    <w:rsid w:val="00AD4BC2"/>
    <w:rsid w:val="00B07015"/>
    <w:rsid w:val="00B20EDC"/>
    <w:rsid w:val="00B95443"/>
    <w:rsid w:val="00BA7CD6"/>
    <w:rsid w:val="00BB4EAF"/>
    <w:rsid w:val="00C62D96"/>
    <w:rsid w:val="00C77099"/>
    <w:rsid w:val="00CA37BC"/>
    <w:rsid w:val="00CA65EE"/>
    <w:rsid w:val="00CA7D7F"/>
    <w:rsid w:val="00CB15A8"/>
    <w:rsid w:val="00CF2518"/>
    <w:rsid w:val="00CF393E"/>
    <w:rsid w:val="00D52E37"/>
    <w:rsid w:val="00D55952"/>
    <w:rsid w:val="00D65052"/>
    <w:rsid w:val="00D81941"/>
    <w:rsid w:val="00D91157"/>
    <w:rsid w:val="00D951A2"/>
    <w:rsid w:val="00D967C2"/>
    <w:rsid w:val="00DA57F4"/>
    <w:rsid w:val="00DB72F7"/>
    <w:rsid w:val="00DD16B6"/>
    <w:rsid w:val="00DF5815"/>
    <w:rsid w:val="00E030AC"/>
    <w:rsid w:val="00E3700F"/>
    <w:rsid w:val="00E47071"/>
    <w:rsid w:val="00E7330D"/>
    <w:rsid w:val="00E81B73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2018-09-24T09:19:00Z</cp:lastPrinted>
  <dcterms:created xsi:type="dcterms:W3CDTF">2020-01-21T09:11:00Z</dcterms:created>
  <dcterms:modified xsi:type="dcterms:W3CDTF">2020-01-27T04:56:00Z</dcterms:modified>
</cp:coreProperties>
</file>